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48F5" w:rsidRDefault="009A48F5" w:rsidP="00462131">
      <w:pPr>
        <w:spacing w:line="360" w:lineRule="auto"/>
        <w:jc w:val="center"/>
        <w:rPr>
          <w:rFonts w:ascii="Times New Roman" w:hAnsi="Times New Roman" w:cs="Times New Roman"/>
          <w:b/>
          <w:bCs/>
        </w:rPr>
      </w:pPr>
      <w:bookmarkStart w:id="0" w:name="_Hlk88595567"/>
      <w:bookmarkStart w:id="1" w:name="_Hlk184051519"/>
      <w:r>
        <w:rPr>
          <w:rFonts w:ascii="Times New Roman" w:hAnsi="Times New Roman" w:cs="Times New Roman"/>
          <w:b/>
          <w:bCs/>
        </w:rPr>
        <w:t xml:space="preserve">Replanteando </w:t>
      </w:r>
      <w:r w:rsidR="00B646A4" w:rsidRPr="00462131">
        <w:rPr>
          <w:rFonts w:ascii="Times New Roman" w:hAnsi="Times New Roman" w:cs="Times New Roman"/>
          <w:b/>
          <w:bCs/>
        </w:rPr>
        <w:t xml:space="preserve">la Reserva Patrimonial del Museo de Antropologías, </w:t>
      </w:r>
    </w:p>
    <w:p w:rsidR="00A72A21" w:rsidRPr="00462131" w:rsidRDefault="00B646A4" w:rsidP="00462131">
      <w:pPr>
        <w:spacing w:line="360" w:lineRule="auto"/>
        <w:jc w:val="center"/>
        <w:rPr>
          <w:rFonts w:ascii="Times New Roman" w:hAnsi="Times New Roman" w:cs="Times New Roman"/>
          <w:b/>
          <w:bCs/>
        </w:rPr>
      </w:pPr>
      <w:r w:rsidRPr="00462131">
        <w:rPr>
          <w:rFonts w:ascii="Times New Roman" w:hAnsi="Times New Roman" w:cs="Times New Roman"/>
          <w:b/>
          <w:bCs/>
        </w:rPr>
        <w:t>aplicando el método Re-</w:t>
      </w:r>
      <w:proofErr w:type="spellStart"/>
      <w:r w:rsidRPr="00462131">
        <w:rPr>
          <w:rFonts w:ascii="Times New Roman" w:hAnsi="Times New Roman" w:cs="Times New Roman"/>
          <w:b/>
          <w:bCs/>
        </w:rPr>
        <w:t>Org</w:t>
      </w:r>
      <w:proofErr w:type="spellEnd"/>
    </w:p>
    <w:p w:rsidR="00DC339E" w:rsidRPr="00462131" w:rsidRDefault="00DC339E" w:rsidP="00462131">
      <w:pPr>
        <w:spacing w:line="360" w:lineRule="auto"/>
        <w:rPr>
          <w:rFonts w:ascii="Times New Roman" w:hAnsi="Times New Roman" w:cs="Times New Roman"/>
        </w:rPr>
      </w:pPr>
      <w:bookmarkStart w:id="2" w:name="_GoBack"/>
      <w:bookmarkEnd w:id="0"/>
      <w:bookmarkEnd w:id="2"/>
    </w:p>
    <w:p w:rsidR="00DC339E" w:rsidRPr="00462131" w:rsidRDefault="00DC339E" w:rsidP="00462131">
      <w:pPr>
        <w:spacing w:line="360" w:lineRule="auto"/>
        <w:rPr>
          <w:rFonts w:ascii="Times New Roman" w:hAnsi="Times New Roman" w:cs="Times New Roman"/>
        </w:rPr>
      </w:pPr>
      <w:r w:rsidRPr="00462131">
        <w:rPr>
          <w:rFonts w:ascii="Times New Roman" w:hAnsi="Times New Roman" w:cs="Times New Roman"/>
        </w:rPr>
        <w:t>Director: Eduardo Pautassi</w:t>
      </w:r>
    </w:p>
    <w:p w:rsidR="00EF2FEF" w:rsidRPr="00462131" w:rsidRDefault="003D38B7" w:rsidP="00462131">
      <w:pPr>
        <w:spacing w:line="360" w:lineRule="auto"/>
        <w:rPr>
          <w:rFonts w:ascii="Times New Roman" w:hAnsi="Times New Roman" w:cs="Times New Roman"/>
        </w:rPr>
      </w:pPr>
      <w:r w:rsidRPr="00462131">
        <w:rPr>
          <w:rFonts w:ascii="Times New Roman" w:hAnsi="Times New Roman" w:cs="Times New Roman"/>
        </w:rPr>
        <w:t>Codirectora: Isabel Prado</w:t>
      </w:r>
    </w:p>
    <w:bookmarkEnd w:id="1"/>
    <w:p w:rsidR="00B646A4" w:rsidRPr="00462131" w:rsidRDefault="00B646A4" w:rsidP="00462131">
      <w:pPr>
        <w:spacing w:line="360" w:lineRule="auto"/>
        <w:jc w:val="both"/>
        <w:rPr>
          <w:rFonts w:ascii="Times New Roman" w:hAnsi="Times New Roman" w:cs="Times New Roman"/>
        </w:rPr>
      </w:pPr>
    </w:p>
    <w:p w:rsidR="002436A9" w:rsidRPr="00462131" w:rsidRDefault="002436A9" w:rsidP="00462131">
      <w:pPr>
        <w:spacing w:line="360" w:lineRule="auto"/>
        <w:jc w:val="both"/>
        <w:rPr>
          <w:rFonts w:ascii="Times New Roman" w:hAnsi="Times New Roman" w:cs="Times New Roman"/>
          <w:b/>
          <w:bCs/>
        </w:rPr>
      </w:pPr>
      <w:r w:rsidRPr="00462131">
        <w:rPr>
          <w:rFonts w:ascii="Times New Roman" w:hAnsi="Times New Roman" w:cs="Times New Roman"/>
          <w:b/>
          <w:bCs/>
        </w:rPr>
        <w:t>Introducción</w:t>
      </w:r>
    </w:p>
    <w:p w:rsidR="00B646A4" w:rsidRPr="00462131" w:rsidRDefault="00913A9D" w:rsidP="00462131">
      <w:pPr>
        <w:spacing w:line="360" w:lineRule="auto"/>
        <w:jc w:val="both"/>
        <w:rPr>
          <w:rFonts w:ascii="Times New Roman" w:hAnsi="Times New Roman" w:cs="Times New Roman"/>
        </w:rPr>
      </w:pPr>
      <w:r w:rsidRPr="00462131">
        <w:rPr>
          <w:rFonts w:ascii="Times New Roman" w:hAnsi="Times New Roman" w:cs="Times New Roman"/>
        </w:rPr>
        <w:t>La Reserva Patrimonial del Museo de Antropologías es el espacio en donde se reúnen conservan las colecciones antropológicas reunidas por el museo y el accionar de los investigadores de esta universidad a lo largo de 80 años.</w:t>
      </w:r>
    </w:p>
    <w:p w:rsidR="002436A9" w:rsidRPr="00462131" w:rsidRDefault="00913A9D" w:rsidP="00462131">
      <w:pPr>
        <w:spacing w:line="360" w:lineRule="auto"/>
        <w:jc w:val="both"/>
        <w:rPr>
          <w:rFonts w:ascii="Times New Roman" w:hAnsi="Times New Roman" w:cs="Times New Roman"/>
        </w:rPr>
      </w:pPr>
      <w:r w:rsidRPr="00462131">
        <w:rPr>
          <w:rFonts w:ascii="Times New Roman" w:hAnsi="Times New Roman" w:cs="Times New Roman"/>
        </w:rPr>
        <w:t xml:space="preserve">Esta se halla situada en </w:t>
      </w:r>
      <w:r w:rsidR="002436A9" w:rsidRPr="00462131">
        <w:rPr>
          <w:rFonts w:ascii="Times New Roman" w:hAnsi="Times New Roman" w:cs="Times New Roman"/>
        </w:rPr>
        <w:t>el subsuelo del pabellón Argentina desde 1980 cuando se trasladó el entonces Instituto de Antropología a las dependencias del Comedor Universitario y los depósitos se situaron en los subsuelos técnicos del pabellón.</w:t>
      </w:r>
    </w:p>
    <w:p w:rsidR="00F14F1F" w:rsidRPr="00462131" w:rsidRDefault="002436A9" w:rsidP="00462131">
      <w:pPr>
        <w:spacing w:line="360" w:lineRule="auto"/>
        <w:jc w:val="both"/>
        <w:rPr>
          <w:rFonts w:ascii="Times New Roman" w:hAnsi="Times New Roman" w:cs="Times New Roman"/>
        </w:rPr>
      </w:pPr>
      <w:r w:rsidRPr="00462131">
        <w:rPr>
          <w:rFonts w:ascii="Times New Roman" w:hAnsi="Times New Roman" w:cs="Times New Roman"/>
        </w:rPr>
        <w:t>Este espacio de guarda comenzó a ser reacondicionado como un espacio de guarda patrimonial a finales de la década de 1990</w:t>
      </w:r>
      <w:r w:rsidR="00CD68D8" w:rsidRPr="00462131">
        <w:rPr>
          <w:rFonts w:ascii="Times New Roman" w:hAnsi="Times New Roman" w:cs="Times New Roman"/>
        </w:rPr>
        <w:t xml:space="preserve">, lo que devino que a partir de 2003 se comenzase a redefinir el antiguo </w:t>
      </w:r>
      <w:r w:rsidR="00756DDF" w:rsidRPr="00462131">
        <w:rPr>
          <w:rFonts w:ascii="Times New Roman" w:hAnsi="Times New Roman" w:cs="Times New Roman"/>
        </w:rPr>
        <w:t>depósito</w:t>
      </w:r>
      <w:r w:rsidR="00CD68D8" w:rsidRPr="00462131">
        <w:rPr>
          <w:rFonts w:ascii="Times New Roman" w:hAnsi="Times New Roman" w:cs="Times New Roman"/>
        </w:rPr>
        <w:t xml:space="preserve"> </w:t>
      </w:r>
      <w:r w:rsidR="00756DDF" w:rsidRPr="00462131">
        <w:rPr>
          <w:rFonts w:ascii="Times New Roman" w:hAnsi="Times New Roman" w:cs="Times New Roman"/>
        </w:rPr>
        <w:t xml:space="preserve">definiendo a </w:t>
      </w:r>
      <w:r w:rsidR="00CD68D8" w:rsidRPr="00462131">
        <w:rPr>
          <w:rFonts w:ascii="Times New Roman" w:hAnsi="Times New Roman" w:cs="Times New Roman"/>
        </w:rPr>
        <w:t>con reservas técnicas</w:t>
      </w:r>
      <w:r w:rsidR="00D31783" w:rsidRPr="00462131">
        <w:rPr>
          <w:rFonts w:ascii="Times New Roman" w:hAnsi="Times New Roman" w:cs="Times New Roman"/>
        </w:rPr>
        <w:t xml:space="preserve"> en el marco de la implementación de un plan de gestión de colecciones</w:t>
      </w:r>
      <w:r w:rsidR="00ED3683">
        <w:rPr>
          <w:rFonts w:ascii="Times New Roman" w:hAnsi="Times New Roman" w:cs="Times New Roman"/>
        </w:rPr>
        <w:t xml:space="preserve"> y durante los primeros años se hizo hincapié en las materialidades más sensibles objetos etnográficos y restos óseos humanos</w:t>
      </w:r>
      <w:r w:rsidR="00D31783" w:rsidRPr="00462131">
        <w:rPr>
          <w:rFonts w:ascii="Times New Roman" w:hAnsi="Times New Roman" w:cs="Times New Roman"/>
        </w:rPr>
        <w:t xml:space="preserve"> (Bonnin 2003</w:t>
      </w:r>
      <w:r w:rsidR="00ED3683">
        <w:rPr>
          <w:rFonts w:ascii="Times New Roman" w:hAnsi="Times New Roman" w:cs="Times New Roman"/>
        </w:rPr>
        <w:t>, 2005</w:t>
      </w:r>
      <w:r w:rsidR="00D31783" w:rsidRPr="00462131">
        <w:rPr>
          <w:rFonts w:ascii="Times New Roman" w:hAnsi="Times New Roman" w:cs="Times New Roman"/>
        </w:rPr>
        <w:t>)</w:t>
      </w:r>
      <w:r w:rsidR="00F14F1F" w:rsidRPr="00462131">
        <w:rPr>
          <w:rFonts w:ascii="Times New Roman" w:hAnsi="Times New Roman" w:cs="Times New Roman"/>
        </w:rPr>
        <w:t>.</w:t>
      </w:r>
      <w:r w:rsidR="00CD68D8" w:rsidRPr="00462131">
        <w:rPr>
          <w:rFonts w:ascii="Times New Roman" w:hAnsi="Times New Roman" w:cs="Times New Roman"/>
        </w:rPr>
        <w:t xml:space="preserve"> </w:t>
      </w:r>
      <w:r w:rsidR="00F14F1F" w:rsidRPr="00462131">
        <w:rPr>
          <w:rFonts w:ascii="Times New Roman" w:hAnsi="Times New Roman" w:cs="Times New Roman"/>
        </w:rPr>
        <w:t xml:space="preserve">En ese contexto se realizó un reacondicionamiento edilicio integral y se adquieren estanterías metálicas, se reorganizan los espacios de guarda en estas nuevas reservas técnicas </w:t>
      </w:r>
    </w:p>
    <w:p w:rsidR="00F14F1F" w:rsidRPr="00462131" w:rsidRDefault="00E75220" w:rsidP="00462131">
      <w:pPr>
        <w:spacing w:line="360" w:lineRule="auto"/>
        <w:jc w:val="both"/>
        <w:rPr>
          <w:rFonts w:ascii="Times New Roman" w:hAnsi="Times New Roman" w:cs="Times New Roman"/>
        </w:rPr>
      </w:pPr>
      <w:r w:rsidRPr="00462131">
        <w:rPr>
          <w:rFonts w:ascii="Times New Roman" w:hAnsi="Times New Roman" w:cs="Times New Roman"/>
        </w:rPr>
        <w:t>En los años subsiguientes (2005-20</w:t>
      </w:r>
      <w:r w:rsidR="00D25A28" w:rsidRPr="00462131">
        <w:rPr>
          <w:rFonts w:ascii="Times New Roman" w:hAnsi="Times New Roman" w:cs="Times New Roman"/>
        </w:rPr>
        <w:t>10</w:t>
      </w:r>
      <w:r w:rsidRPr="00462131">
        <w:rPr>
          <w:rFonts w:ascii="Times New Roman" w:hAnsi="Times New Roman" w:cs="Times New Roman"/>
        </w:rPr>
        <w:t>) se puede apreciar un esfuerzo institucional en la recuperación de información</w:t>
      </w:r>
      <w:r w:rsidR="0056738D" w:rsidRPr="00462131">
        <w:rPr>
          <w:rFonts w:ascii="Times New Roman" w:hAnsi="Times New Roman" w:cs="Times New Roman"/>
        </w:rPr>
        <w:t xml:space="preserve">, con la elaboración de relevamientos de colecciones, recuperación documental, la </w:t>
      </w:r>
      <w:r w:rsidRPr="00462131">
        <w:rPr>
          <w:rFonts w:ascii="Times New Roman" w:hAnsi="Times New Roman" w:cs="Times New Roman"/>
        </w:rPr>
        <w:t>conservación</w:t>
      </w:r>
      <w:r w:rsidR="0056738D" w:rsidRPr="00462131">
        <w:rPr>
          <w:rFonts w:ascii="Times New Roman" w:hAnsi="Times New Roman" w:cs="Times New Roman"/>
        </w:rPr>
        <w:t xml:space="preserve"> de los documentos</w:t>
      </w:r>
      <w:r w:rsidRPr="00462131">
        <w:rPr>
          <w:rFonts w:ascii="Times New Roman" w:hAnsi="Times New Roman" w:cs="Times New Roman"/>
        </w:rPr>
        <w:t xml:space="preserve"> y </w:t>
      </w:r>
      <w:r w:rsidR="0056738D" w:rsidRPr="00462131">
        <w:rPr>
          <w:rFonts w:ascii="Times New Roman" w:hAnsi="Times New Roman" w:cs="Times New Roman"/>
        </w:rPr>
        <w:t xml:space="preserve">la </w:t>
      </w:r>
      <w:r w:rsidRPr="00462131">
        <w:rPr>
          <w:rFonts w:ascii="Times New Roman" w:hAnsi="Times New Roman" w:cs="Times New Roman"/>
        </w:rPr>
        <w:t>generación del archivo del Museo de Antropología</w:t>
      </w:r>
      <w:r w:rsidR="00D25A28" w:rsidRPr="00462131">
        <w:rPr>
          <w:rFonts w:ascii="Times New Roman" w:hAnsi="Times New Roman" w:cs="Times New Roman"/>
        </w:rPr>
        <w:t xml:space="preserve"> (Izeta 2013)</w:t>
      </w:r>
      <w:r w:rsidRPr="00462131">
        <w:rPr>
          <w:rFonts w:ascii="Times New Roman" w:hAnsi="Times New Roman" w:cs="Times New Roman"/>
        </w:rPr>
        <w:t>. A partir del año 2008 se retoman los controles ambientales, que constituyen un esfuerzo que buscaba obtener datos relevantes de las fluctuaciones de temperatura y humedad relativa (Quiroga 2008).</w:t>
      </w:r>
    </w:p>
    <w:p w:rsidR="002A65E3" w:rsidRPr="00462131" w:rsidRDefault="00E75220" w:rsidP="00462131">
      <w:pPr>
        <w:spacing w:line="360" w:lineRule="auto"/>
        <w:jc w:val="both"/>
        <w:rPr>
          <w:rFonts w:ascii="Times New Roman" w:hAnsi="Times New Roman" w:cs="Times New Roman"/>
        </w:rPr>
      </w:pPr>
      <w:r w:rsidRPr="00462131">
        <w:rPr>
          <w:rFonts w:ascii="Times New Roman" w:hAnsi="Times New Roman" w:cs="Times New Roman"/>
        </w:rPr>
        <w:t xml:space="preserve">En igual sentido entre 2008 y 2010 se implementó un sistema de registro tendiente a abordar la salud de las colecciones recurriendo al concepto de índice de salud tal como lo plantearon Simmons &amp; Muños Saba (2005). </w:t>
      </w:r>
    </w:p>
    <w:p w:rsidR="006B4473" w:rsidRPr="00462131" w:rsidRDefault="00E75220" w:rsidP="00462131">
      <w:pPr>
        <w:spacing w:line="360" w:lineRule="auto"/>
        <w:jc w:val="both"/>
        <w:rPr>
          <w:rFonts w:ascii="Times New Roman" w:hAnsi="Times New Roman" w:cs="Times New Roman"/>
        </w:rPr>
      </w:pPr>
      <w:r w:rsidRPr="00462131">
        <w:rPr>
          <w:rFonts w:ascii="Times New Roman" w:hAnsi="Times New Roman" w:cs="Times New Roman"/>
        </w:rPr>
        <w:lastRenderedPageBreak/>
        <w:t xml:space="preserve">A partir de 2010 se implementa el proyecto de Informatización de colecciones y Archivo en cuyo marco se comienza a digitalizar la </w:t>
      </w:r>
      <w:r w:rsidR="002A65E3" w:rsidRPr="00462131">
        <w:rPr>
          <w:rFonts w:ascii="Times New Roman" w:hAnsi="Times New Roman" w:cs="Times New Roman"/>
        </w:rPr>
        <w:t>información</w:t>
      </w:r>
      <w:r w:rsidRPr="00462131">
        <w:rPr>
          <w:rFonts w:ascii="Times New Roman" w:hAnsi="Times New Roman" w:cs="Times New Roman"/>
        </w:rPr>
        <w:t xml:space="preserve"> de primer oren (</w:t>
      </w:r>
      <w:r w:rsidR="002A65E3" w:rsidRPr="00462131">
        <w:rPr>
          <w:rFonts w:ascii="Times New Roman" w:hAnsi="Times New Roman" w:cs="Times New Roman"/>
        </w:rPr>
        <w:t>inventarios</w:t>
      </w:r>
      <w:r w:rsidRPr="00462131">
        <w:rPr>
          <w:rFonts w:ascii="Times New Roman" w:hAnsi="Times New Roman" w:cs="Times New Roman"/>
        </w:rPr>
        <w:t xml:space="preserve"> y censos) </w:t>
      </w:r>
      <w:r w:rsidR="002A65E3" w:rsidRPr="00462131">
        <w:rPr>
          <w:rFonts w:ascii="Times New Roman" w:hAnsi="Times New Roman" w:cs="Times New Roman"/>
        </w:rPr>
        <w:t>así</w:t>
      </w:r>
      <w:r w:rsidRPr="00462131">
        <w:rPr>
          <w:rFonts w:ascii="Times New Roman" w:hAnsi="Times New Roman" w:cs="Times New Roman"/>
        </w:rPr>
        <w:t xml:space="preserve"> como fondos documentales como los de </w:t>
      </w:r>
      <w:r w:rsidR="002A65E3" w:rsidRPr="00462131">
        <w:rPr>
          <w:rFonts w:ascii="Times New Roman" w:hAnsi="Times New Roman" w:cs="Times New Roman"/>
        </w:rPr>
        <w:t xml:space="preserve">Aníbal </w:t>
      </w:r>
      <w:r w:rsidRPr="00462131">
        <w:rPr>
          <w:rFonts w:ascii="Times New Roman" w:hAnsi="Times New Roman" w:cs="Times New Roman"/>
        </w:rPr>
        <w:t>Montes y Jorge von Hauenschild (Izeta 2013)</w:t>
      </w:r>
      <w:r w:rsidR="002A65E3" w:rsidRPr="00462131">
        <w:rPr>
          <w:rFonts w:ascii="Times New Roman" w:hAnsi="Times New Roman" w:cs="Times New Roman"/>
        </w:rPr>
        <w:t>.</w:t>
      </w:r>
      <w:r w:rsidR="006B4473" w:rsidRPr="00462131">
        <w:rPr>
          <w:rFonts w:ascii="Times New Roman" w:hAnsi="Times New Roman" w:cs="Times New Roman"/>
        </w:rPr>
        <w:t xml:space="preserve"> Luego a partir del año 2012 se redefiniese el espacio como reserva patrimonial</w:t>
      </w:r>
      <w:r w:rsidR="00816405" w:rsidRPr="00462131">
        <w:rPr>
          <w:rFonts w:ascii="Times New Roman" w:hAnsi="Times New Roman" w:cs="Times New Roman"/>
        </w:rPr>
        <w:t xml:space="preserve">, quedando organizado en cuatro reservas técnicas identificadas con letras y el archivo </w:t>
      </w:r>
      <w:r w:rsidR="006B4473" w:rsidRPr="00462131">
        <w:rPr>
          <w:rFonts w:ascii="Times New Roman" w:hAnsi="Times New Roman" w:cs="Times New Roman"/>
        </w:rPr>
        <w:t xml:space="preserve">(Cattáneo 2012). </w:t>
      </w:r>
    </w:p>
    <w:p w:rsidR="006B4473" w:rsidRPr="00462131" w:rsidRDefault="006B4473" w:rsidP="00462131">
      <w:pPr>
        <w:spacing w:line="360" w:lineRule="auto"/>
        <w:jc w:val="both"/>
        <w:rPr>
          <w:rFonts w:ascii="Times New Roman" w:hAnsi="Times New Roman" w:cs="Times New Roman"/>
        </w:rPr>
      </w:pPr>
      <w:r w:rsidRPr="00462131">
        <w:rPr>
          <w:rFonts w:ascii="Times New Roman" w:hAnsi="Times New Roman" w:cs="Times New Roman"/>
        </w:rPr>
        <w:t xml:space="preserve">A partir de 2014 se retomaron los controles de temperatura y humedad relativa, con ellos se pudo identificar </w:t>
      </w:r>
      <w:r w:rsidR="0056738D" w:rsidRPr="00462131">
        <w:rPr>
          <w:rFonts w:ascii="Times New Roman" w:hAnsi="Times New Roman" w:cs="Times New Roman"/>
        </w:rPr>
        <w:t xml:space="preserve">que le espacio definido como Reserva A era ambientalmente más estable y se migraron las colecciones etnográficas allí, luego en 2016 se pudo acondicionar un nuevo espacio para generar una reserva </w:t>
      </w:r>
      <w:proofErr w:type="spellStart"/>
      <w:r w:rsidR="0056738D" w:rsidRPr="00462131">
        <w:rPr>
          <w:rFonts w:ascii="Times New Roman" w:hAnsi="Times New Roman" w:cs="Times New Roman"/>
        </w:rPr>
        <w:t>bioantropológica</w:t>
      </w:r>
      <w:proofErr w:type="spellEnd"/>
      <w:r w:rsidR="0056738D" w:rsidRPr="00462131">
        <w:rPr>
          <w:rFonts w:ascii="Times New Roman" w:hAnsi="Times New Roman" w:cs="Times New Roman"/>
        </w:rPr>
        <w:t xml:space="preserve"> y separar a los restos óseos humanos de los objetos, así se </w:t>
      </w:r>
      <w:r w:rsidR="0082608C" w:rsidRPr="00462131">
        <w:rPr>
          <w:rFonts w:ascii="Times New Roman" w:hAnsi="Times New Roman" w:cs="Times New Roman"/>
        </w:rPr>
        <w:t>creó</w:t>
      </w:r>
      <w:r w:rsidR="0056738D" w:rsidRPr="00462131">
        <w:rPr>
          <w:rFonts w:ascii="Times New Roman" w:hAnsi="Times New Roman" w:cs="Times New Roman"/>
        </w:rPr>
        <w:t xml:space="preserve"> la Reserva E. El monitoreo contante </w:t>
      </w:r>
      <w:r w:rsidRPr="00462131">
        <w:rPr>
          <w:rFonts w:ascii="Times New Roman" w:hAnsi="Times New Roman" w:cs="Times New Roman"/>
        </w:rPr>
        <w:t>permitió</w:t>
      </w:r>
      <w:r w:rsidR="0056738D" w:rsidRPr="00462131">
        <w:rPr>
          <w:rFonts w:ascii="Times New Roman" w:hAnsi="Times New Roman" w:cs="Times New Roman"/>
        </w:rPr>
        <w:t>, en 2021,</w:t>
      </w:r>
      <w:r w:rsidRPr="00462131">
        <w:rPr>
          <w:rFonts w:ascii="Times New Roman" w:hAnsi="Times New Roman" w:cs="Times New Roman"/>
        </w:rPr>
        <w:t xml:space="preserve"> implementar un sistema de monitoreo y control ambiental que redujo sensiblemente el desarrollo de agentes biológicos y por ende </w:t>
      </w:r>
      <w:r w:rsidR="0056738D" w:rsidRPr="00462131">
        <w:rPr>
          <w:rFonts w:ascii="Times New Roman" w:hAnsi="Times New Roman" w:cs="Times New Roman"/>
        </w:rPr>
        <w:t>e</w:t>
      </w:r>
      <w:r w:rsidRPr="00462131">
        <w:rPr>
          <w:rFonts w:ascii="Times New Roman" w:hAnsi="Times New Roman" w:cs="Times New Roman"/>
        </w:rPr>
        <w:t xml:space="preserve">l </w:t>
      </w:r>
      <w:proofErr w:type="spellStart"/>
      <w:r w:rsidRPr="00462131">
        <w:rPr>
          <w:rFonts w:ascii="Times New Roman" w:hAnsi="Times New Roman" w:cs="Times New Roman"/>
        </w:rPr>
        <w:t>biodeterioro</w:t>
      </w:r>
      <w:proofErr w:type="spellEnd"/>
      <w:r w:rsidRPr="00462131">
        <w:rPr>
          <w:rFonts w:ascii="Times New Roman" w:hAnsi="Times New Roman" w:cs="Times New Roman"/>
        </w:rPr>
        <w:t xml:space="preserve"> de las colecciones</w:t>
      </w:r>
      <w:r w:rsidR="0056738D" w:rsidRPr="00462131">
        <w:rPr>
          <w:rFonts w:ascii="Times New Roman" w:hAnsi="Times New Roman" w:cs="Times New Roman"/>
        </w:rPr>
        <w:t xml:space="preserve"> (Pautassi y Prado 2021</w:t>
      </w:r>
      <w:r w:rsidR="00ED3683">
        <w:rPr>
          <w:rFonts w:ascii="Times New Roman" w:hAnsi="Times New Roman" w:cs="Times New Roman"/>
        </w:rPr>
        <w:t>, Pautassi et al 2024</w:t>
      </w:r>
      <w:r w:rsidR="0056738D" w:rsidRPr="00462131">
        <w:rPr>
          <w:rFonts w:ascii="Times New Roman" w:hAnsi="Times New Roman" w:cs="Times New Roman"/>
        </w:rPr>
        <w:t>).</w:t>
      </w:r>
    </w:p>
    <w:p w:rsidR="00D25A28" w:rsidRPr="00462131" w:rsidRDefault="00D25A28" w:rsidP="00462131">
      <w:pPr>
        <w:spacing w:line="360" w:lineRule="auto"/>
        <w:jc w:val="both"/>
        <w:rPr>
          <w:rFonts w:ascii="Times New Roman" w:hAnsi="Times New Roman" w:cs="Times New Roman"/>
        </w:rPr>
      </w:pPr>
      <w:r w:rsidRPr="00462131">
        <w:rPr>
          <w:rFonts w:ascii="Times New Roman" w:hAnsi="Times New Roman" w:cs="Times New Roman"/>
        </w:rPr>
        <w:t xml:space="preserve">Este conjunto de acciones y permitieron transformar al antiguo depósito en una reserva patrimonial que posee condiciones de guarda apropiadas para la preservación de colecciones antropológicas. Del conjunto de agentes de deterioro que inciden negativamente en la preservación del patrimonio, la disociación constituye el principal agente de deterioro de las colecciones del Museo de antropologías. </w:t>
      </w:r>
    </w:p>
    <w:p w:rsidR="00D25A28" w:rsidRPr="00462131" w:rsidRDefault="006F61C4" w:rsidP="00462131">
      <w:pPr>
        <w:spacing w:line="360" w:lineRule="auto"/>
        <w:jc w:val="both"/>
        <w:rPr>
          <w:rFonts w:ascii="Times New Roman" w:hAnsi="Times New Roman" w:cs="Times New Roman"/>
        </w:rPr>
      </w:pPr>
      <w:r>
        <w:rPr>
          <w:rFonts w:ascii="Times New Roman" w:hAnsi="Times New Roman" w:cs="Times New Roman"/>
        </w:rPr>
        <w:t xml:space="preserve">En los últimos años el espacio de trabajo se ha conformado con un equipo transdisciplinar que aborda procesos de documentación, conservación y digitalización de manera integral (Pautassi et al 2021), además de un riguroso trabajo de </w:t>
      </w:r>
      <w:r w:rsidR="00833B7B">
        <w:rPr>
          <w:rFonts w:ascii="Times New Roman" w:hAnsi="Times New Roman" w:cs="Times New Roman"/>
        </w:rPr>
        <w:t>documentación</w:t>
      </w:r>
      <w:r>
        <w:rPr>
          <w:rFonts w:ascii="Times New Roman" w:hAnsi="Times New Roman" w:cs="Times New Roman"/>
        </w:rPr>
        <w:t xml:space="preserve"> de colecciones que ha permitido elaborar una serie de </w:t>
      </w:r>
      <w:r w:rsidR="00833B7B">
        <w:rPr>
          <w:rFonts w:ascii="Times New Roman" w:hAnsi="Times New Roman" w:cs="Times New Roman"/>
        </w:rPr>
        <w:t>catálogos</w:t>
      </w:r>
      <w:r>
        <w:rPr>
          <w:rFonts w:ascii="Times New Roman" w:hAnsi="Times New Roman" w:cs="Times New Roman"/>
        </w:rPr>
        <w:t xml:space="preserve"> que profundizan en las historias detrás de </w:t>
      </w:r>
      <w:r w:rsidR="00833B7B">
        <w:rPr>
          <w:rFonts w:ascii="Times New Roman" w:hAnsi="Times New Roman" w:cs="Times New Roman"/>
        </w:rPr>
        <w:t>colecciones etnográficas y arqueológicas (de antropología 2023, 2024).</w:t>
      </w:r>
      <w:r>
        <w:rPr>
          <w:rFonts w:ascii="Times New Roman" w:hAnsi="Times New Roman" w:cs="Times New Roman"/>
        </w:rPr>
        <w:t xml:space="preserve"> </w:t>
      </w:r>
    </w:p>
    <w:p w:rsidR="00D25A28" w:rsidRPr="00462131" w:rsidRDefault="00D25A28" w:rsidP="00462131">
      <w:pPr>
        <w:spacing w:line="360" w:lineRule="auto"/>
        <w:jc w:val="both"/>
        <w:rPr>
          <w:rFonts w:ascii="Times New Roman" w:hAnsi="Times New Roman" w:cs="Times New Roman"/>
          <w:b/>
          <w:bCs/>
        </w:rPr>
      </w:pPr>
      <w:r w:rsidRPr="00462131">
        <w:rPr>
          <w:rFonts w:ascii="Times New Roman" w:hAnsi="Times New Roman" w:cs="Times New Roman"/>
          <w:b/>
          <w:bCs/>
        </w:rPr>
        <w:t>Objetivo</w:t>
      </w:r>
    </w:p>
    <w:p w:rsidR="00D25A28" w:rsidRPr="00462131" w:rsidRDefault="00D25A28" w:rsidP="00462131">
      <w:pPr>
        <w:spacing w:line="360" w:lineRule="auto"/>
        <w:jc w:val="both"/>
        <w:rPr>
          <w:rFonts w:ascii="Times New Roman" w:hAnsi="Times New Roman" w:cs="Times New Roman"/>
        </w:rPr>
      </w:pPr>
      <w:r w:rsidRPr="00462131">
        <w:rPr>
          <w:rFonts w:ascii="Times New Roman" w:hAnsi="Times New Roman" w:cs="Times New Roman"/>
        </w:rPr>
        <w:t>La principal debilidad, de la reserva, reside en las limitaciones del espacio que no permite realizar movimientos horizontales, reunificar colecciones o tener espacios de guarda transitorias o de cuarentena, por ello el presente proyecto se plantea como objetivo principal implementar el Método Re-</w:t>
      </w:r>
      <w:proofErr w:type="spellStart"/>
      <w:r w:rsidRPr="00462131">
        <w:rPr>
          <w:rFonts w:ascii="Times New Roman" w:hAnsi="Times New Roman" w:cs="Times New Roman"/>
        </w:rPr>
        <w:t>Org</w:t>
      </w:r>
      <w:proofErr w:type="spellEnd"/>
      <w:r w:rsidRPr="00462131">
        <w:rPr>
          <w:rFonts w:ascii="Times New Roman" w:hAnsi="Times New Roman" w:cs="Times New Roman"/>
        </w:rPr>
        <w:t xml:space="preserve"> desarrollado por ICCOM como herramienta analítica para replantear a la Reserva del Museo de Antropología.</w:t>
      </w:r>
    </w:p>
    <w:p w:rsidR="00D25A28" w:rsidRPr="00462131" w:rsidRDefault="00D25A28" w:rsidP="00462131">
      <w:pPr>
        <w:spacing w:line="360" w:lineRule="auto"/>
        <w:jc w:val="both"/>
        <w:rPr>
          <w:rFonts w:ascii="Times New Roman" w:hAnsi="Times New Roman" w:cs="Times New Roman"/>
        </w:rPr>
      </w:pPr>
    </w:p>
    <w:p w:rsidR="00D25A28" w:rsidRPr="00462131" w:rsidRDefault="00D25A28" w:rsidP="00462131">
      <w:pPr>
        <w:spacing w:line="360" w:lineRule="auto"/>
        <w:jc w:val="both"/>
        <w:rPr>
          <w:rFonts w:ascii="Times New Roman" w:hAnsi="Times New Roman" w:cs="Times New Roman"/>
          <w:b/>
          <w:bCs/>
        </w:rPr>
      </w:pPr>
      <w:r w:rsidRPr="00462131">
        <w:rPr>
          <w:rFonts w:ascii="Times New Roman" w:hAnsi="Times New Roman" w:cs="Times New Roman"/>
          <w:b/>
          <w:bCs/>
        </w:rPr>
        <w:t xml:space="preserve">Consideraciones metodológicas </w:t>
      </w:r>
      <w:r w:rsidR="00345725" w:rsidRPr="00462131">
        <w:rPr>
          <w:rFonts w:ascii="Times New Roman" w:hAnsi="Times New Roman" w:cs="Times New Roman"/>
          <w:b/>
          <w:bCs/>
        </w:rPr>
        <w:t>El método Re-</w:t>
      </w:r>
      <w:proofErr w:type="spellStart"/>
      <w:r w:rsidR="00345725" w:rsidRPr="00462131">
        <w:rPr>
          <w:rFonts w:ascii="Times New Roman" w:hAnsi="Times New Roman" w:cs="Times New Roman"/>
          <w:b/>
          <w:bCs/>
        </w:rPr>
        <w:t>Org</w:t>
      </w:r>
      <w:proofErr w:type="spellEnd"/>
    </w:p>
    <w:p w:rsidR="00D25A28" w:rsidRPr="00462131" w:rsidRDefault="00D25A28" w:rsidP="00462131">
      <w:pPr>
        <w:spacing w:line="360" w:lineRule="auto"/>
        <w:jc w:val="both"/>
        <w:rPr>
          <w:rFonts w:ascii="Times New Roman" w:hAnsi="Times New Roman" w:cs="Times New Roman"/>
        </w:rPr>
      </w:pPr>
    </w:p>
    <w:p w:rsidR="00345725" w:rsidRPr="00462131" w:rsidRDefault="00D25A28" w:rsidP="00462131">
      <w:pPr>
        <w:spacing w:line="360" w:lineRule="auto"/>
        <w:jc w:val="both"/>
        <w:rPr>
          <w:rFonts w:ascii="Times New Roman" w:hAnsi="Times New Roman" w:cs="Times New Roman"/>
        </w:rPr>
      </w:pPr>
      <w:r w:rsidRPr="00462131">
        <w:rPr>
          <w:rFonts w:ascii="Times New Roman" w:hAnsi="Times New Roman" w:cs="Times New Roman"/>
        </w:rPr>
        <w:lastRenderedPageBreak/>
        <w:t>El método RE-ORG</w:t>
      </w:r>
      <w:r w:rsidR="00275901" w:rsidRPr="00462131">
        <w:rPr>
          <w:rFonts w:ascii="Times New Roman" w:hAnsi="Times New Roman" w:cs="Times New Roman"/>
        </w:rPr>
        <w:t xml:space="preserve"> (</w:t>
      </w:r>
      <w:proofErr w:type="spellStart"/>
      <w:r w:rsidR="00275901" w:rsidRPr="00462131">
        <w:rPr>
          <w:rFonts w:ascii="Times New Roman" w:hAnsi="Times New Roman" w:cs="Times New Roman"/>
        </w:rPr>
        <w:t>Ibermuseos</w:t>
      </w:r>
      <w:proofErr w:type="spellEnd"/>
      <w:r w:rsidR="00275901" w:rsidRPr="00462131">
        <w:rPr>
          <w:rFonts w:ascii="Times New Roman" w:hAnsi="Times New Roman" w:cs="Times New Roman"/>
        </w:rPr>
        <w:t>-ICCROM, 2017)</w:t>
      </w:r>
      <w:r w:rsidRPr="00462131">
        <w:rPr>
          <w:rFonts w:ascii="Times New Roman" w:hAnsi="Times New Roman" w:cs="Times New Roman"/>
        </w:rPr>
        <w:t xml:space="preserve"> tiene la finalidad de ser una guia, paso a paso, durante todo el proceso de planificación e implementación de un proyecto de reorganización de un depósito de museo o una Reserva Patrimonial</w:t>
      </w:r>
      <w:r w:rsidR="007B43E9" w:rsidRPr="00462131">
        <w:rPr>
          <w:rFonts w:ascii="Times New Roman" w:hAnsi="Times New Roman" w:cs="Times New Roman"/>
        </w:rPr>
        <w:t>.</w:t>
      </w:r>
    </w:p>
    <w:p w:rsidR="00B022C7" w:rsidRPr="00462131" w:rsidRDefault="00B022C7" w:rsidP="00462131">
      <w:pPr>
        <w:spacing w:line="360" w:lineRule="auto"/>
        <w:jc w:val="both"/>
        <w:rPr>
          <w:rFonts w:ascii="Times New Roman" w:hAnsi="Times New Roman" w:cs="Times New Roman"/>
        </w:rPr>
      </w:pPr>
      <w:r w:rsidRPr="00462131">
        <w:rPr>
          <w:rFonts w:ascii="Times New Roman" w:hAnsi="Times New Roman" w:cs="Times New Roman"/>
        </w:rPr>
        <w:t xml:space="preserve">En las áreas de guarda patrimonial se suele producir el crecimiento de las colecciones almacenadas sin que esto sea acompañado por un crecimiento en el espacio de guarda, por ello el método </w:t>
      </w:r>
      <w:proofErr w:type="spellStart"/>
      <w:r w:rsidRPr="00462131">
        <w:rPr>
          <w:rFonts w:ascii="Times New Roman" w:hAnsi="Times New Roman" w:cs="Times New Roman"/>
        </w:rPr>
        <w:t>re-org</w:t>
      </w:r>
      <w:proofErr w:type="spellEnd"/>
      <w:r w:rsidRPr="00462131">
        <w:rPr>
          <w:rFonts w:ascii="Times New Roman" w:hAnsi="Times New Roman" w:cs="Times New Roman"/>
        </w:rPr>
        <w:t xml:space="preserve"> busca identificar los problemas de organización considerando cuatro ejes: </w:t>
      </w:r>
    </w:p>
    <w:p w:rsidR="00B022C7" w:rsidRPr="00462131" w:rsidRDefault="00B022C7" w:rsidP="00462131">
      <w:pPr>
        <w:spacing w:line="360" w:lineRule="auto"/>
        <w:ind w:left="567"/>
        <w:jc w:val="both"/>
        <w:rPr>
          <w:rFonts w:ascii="Times New Roman" w:hAnsi="Times New Roman" w:cs="Times New Roman"/>
        </w:rPr>
      </w:pPr>
      <w:r w:rsidRPr="00462131">
        <w:rPr>
          <w:rFonts w:ascii="Times New Roman" w:hAnsi="Times New Roman" w:cs="Times New Roman"/>
        </w:rPr>
        <w:t>a) Colección: Reúne datos cuantitativos y cualitativos sobre la colección que podrían influir en las decisiones que tomes sobre las necesidades de espacio y de equipamiento</w:t>
      </w:r>
    </w:p>
    <w:p w:rsidR="00B022C7" w:rsidRPr="00462131" w:rsidRDefault="00B022C7" w:rsidP="00462131">
      <w:pPr>
        <w:spacing w:line="360" w:lineRule="auto"/>
        <w:ind w:left="567"/>
        <w:jc w:val="both"/>
        <w:rPr>
          <w:rFonts w:ascii="Times New Roman" w:hAnsi="Times New Roman" w:cs="Times New Roman"/>
        </w:rPr>
      </w:pPr>
      <w:r w:rsidRPr="00462131">
        <w:rPr>
          <w:rFonts w:ascii="Times New Roman" w:hAnsi="Times New Roman" w:cs="Times New Roman"/>
        </w:rPr>
        <w:t xml:space="preserve">b) Mobiliario y Pequeños equipos: Evalúa el mobiliario de almacenamiento existente, y determina qué necesitas para trabajar más eficazmente con la colección </w:t>
      </w:r>
    </w:p>
    <w:p w:rsidR="00B022C7" w:rsidRPr="00462131" w:rsidRDefault="00B022C7" w:rsidP="00462131">
      <w:pPr>
        <w:spacing w:line="360" w:lineRule="auto"/>
        <w:ind w:left="567"/>
        <w:jc w:val="both"/>
        <w:rPr>
          <w:rFonts w:ascii="Times New Roman" w:hAnsi="Times New Roman" w:cs="Times New Roman"/>
        </w:rPr>
      </w:pPr>
      <w:r w:rsidRPr="00462131">
        <w:rPr>
          <w:rFonts w:ascii="Times New Roman" w:hAnsi="Times New Roman" w:cs="Times New Roman"/>
        </w:rPr>
        <w:t>c) Edificio y Espacio: Examina si el edificio pudiera estar poniendo en riesgo la colección, y calcula si estás usando bien el espacio disponible</w:t>
      </w:r>
    </w:p>
    <w:p w:rsidR="00D25A28" w:rsidRPr="00462131" w:rsidRDefault="00B022C7" w:rsidP="00462131">
      <w:pPr>
        <w:spacing w:line="360" w:lineRule="auto"/>
        <w:ind w:left="567"/>
        <w:jc w:val="both"/>
        <w:rPr>
          <w:rFonts w:ascii="Times New Roman" w:hAnsi="Times New Roman" w:cs="Times New Roman"/>
        </w:rPr>
      </w:pPr>
      <w:r w:rsidRPr="00462131">
        <w:rPr>
          <w:rFonts w:ascii="Times New Roman" w:hAnsi="Times New Roman" w:cs="Times New Roman"/>
        </w:rPr>
        <w:t>d) Administración: Estudia con detalle las políticas y procedimientos relacionados con las responsabilidades y roles del</w:t>
      </w:r>
      <w:r w:rsidR="00556227" w:rsidRPr="00462131">
        <w:rPr>
          <w:rFonts w:ascii="Times New Roman" w:hAnsi="Times New Roman" w:cs="Times New Roman"/>
        </w:rPr>
        <w:t xml:space="preserve"> </w:t>
      </w:r>
      <w:r w:rsidRPr="00462131">
        <w:rPr>
          <w:rFonts w:ascii="Times New Roman" w:hAnsi="Times New Roman" w:cs="Times New Roman"/>
        </w:rPr>
        <w:t>personal</w:t>
      </w:r>
    </w:p>
    <w:p w:rsidR="00556227" w:rsidRPr="00462131" w:rsidRDefault="00275901" w:rsidP="00462131">
      <w:pPr>
        <w:spacing w:line="360" w:lineRule="auto"/>
        <w:jc w:val="both"/>
        <w:rPr>
          <w:rFonts w:ascii="Times New Roman" w:hAnsi="Times New Roman" w:cs="Times New Roman"/>
        </w:rPr>
      </w:pPr>
      <w:r w:rsidRPr="00462131">
        <w:rPr>
          <w:rFonts w:ascii="Times New Roman" w:hAnsi="Times New Roman" w:cs="Times New Roman"/>
        </w:rPr>
        <w:t xml:space="preserve">El método permite plantear al equipo de trabajo alcanzar unos estándares de calidad que definen a un espacio de guarda patrimonial bien administrado, para lograrlos </w:t>
      </w:r>
      <w:r w:rsidR="00462131" w:rsidRPr="00462131">
        <w:rPr>
          <w:rFonts w:ascii="Times New Roman" w:hAnsi="Times New Roman" w:cs="Times New Roman"/>
        </w:rPr>
        <w:t xml:space="preserve">se plantea una </w:t>
      </w:r>
      <w:r w:rsidR="00833B7B" w:rsidRPr="00462131">
        <w:rPr>
          <w:rFonts w:ascii="Times New Roman" w:hAnsi="Times New Roman" w:cs="Times New Roman"/>
        </w:rPr>
        <w:t>metodología</w:t>
      </w:r>
      <w:r w:rsidR="00462131" w:rsidRPr="00462131">
        <w:rPr>
          <w:rFonts w:ascii="Times New Roman" w:hAnsi="Times New Roman" w:cs="Times New Roman"/>
        </w:rPr>
        <w:t xml:space="preserve"> de trabajo en cuatro etapas.</w:t>
      </w:r>
    </w:p>
    <w:p w:rsidR="00462131" w:rsidRPr="00462131" w:rsidRDefault="00462131" w:rsidP="00462131">
      <w:pPr>
        <w:spacing w:line="360" w:lineRule="auto"/>
        <w:jc w:val="both"/>
        <w:rPr>
          <w:rFonts w:ascii="Times New Roman" w:hAnsi="Times New Roman" w:cs="Times New Roman"/>
        </w:rPr>
      </w:pPr>
      <w:r w:rsidRPr="00462131">
        <w:rPr>
          <w:rFonts w:ascii="Times New Roman" w:hAnsi="Times New Roman" w:cs="Times New Roman"/>
        </w:rPr>
        <w:t xml:space="preserve">Fase 1- Preparativos: </w:t>
      </w:r>
    </w:p>
    <w:p w:rsidR="00275901" w:rsidRPr="00462131" w:rsidRDefault="00275901" w:rsidP="00462131">
      <w:pPr>
        <w:spacing w:line="360" w:lineRule="auto"/>
        <w:jc w:val="both"/>
        <w:rPr>
          <w:rFonts w:ascii="Times New Roman" w:hAnsi="Times New Roman" w:cs="Times New Roman"/>
        </w:rPr>
      </w:pPr>
      <w:r w:rsidRPr="00462131">
        <w:rPr>
          <w:rFonts w:ascii="Times New Roman" w:hAnsi="Times New Roman" w:cs="Times New Roman"/>
        </w:rPr>
        <w:t xml:space="preserve">En esta fase, </w:t>
      </w:r>
      <w:r w:rsidR="00462131" w:rsidRPr="00462131">
        <w:rPr>
          <w:rFonts w:ascii="Times New Roman" w:hAnsi="Times New Roman" w:cs="Times New Roman"/>
        </w:rPr>
        <w:t xml:space="preserve">se conformará un equipo conformado por los miembros del proyecto </w:t>
      </w:r>
      <w:r w:rsidRPr="00462131">
        <w:rPr>
          <w:rFonts w:ascii="Times New Roman" w:hAnsi="Times New Roman" w:cs="Times New Roman"/>
        </w:rPr>
        <w:t>para emprender la aventura de reorganizar el depósito</w:t>
      </w:r>
      <w:r w:rsidR="00462131" w:rsidRPr="00462131">
        <w:rPr>
          <w:rFonts w:ascii="Times New Roman" w:hAnsi="Times New Roman" w:cs="Times New Roman"/>
        </w:rPr>
        <w:t xml:space="preserve">/reserva. El punto de partida lo constituirá una </w:t>
      </w:r>
      <w:r w:rsidRPr="00462131">
        <w:rPr>
          <w:rFonts w:ascii="Times New Roman" w:hAnsi="Times New Roman" w:cs="Times New Roman"/>
        </w:rPr>
        <w:t>autoevaluación inicial sobre almacenamiento, preparando herramientas, materiales y planos,</w:t>
      </w:r>
      <w:r w:rsidR="00462131" w:rsidRPr="00462131">
        <w:rPr>
          <w:rFonts w:ascii="Times New Roman" w:hAnsi="Times New Roman" w:cs="Times New Roman"/>
        </w:rPr>
        <w:t xml:space="preserve"> </w:t>
      </w:r>
      <w:r w:rsidRPr="00462131">
        <w:rPr>
          <w:rFonts w:ascii="Times New Roman" w:hAnsi="Times New Roman" w:cs="Times New Roman"/>
        </w:rPr>
        <w:t>documentando en fotografía y vídeo las condiciones del depósito "antes de RE-ORG" y definiendo los</w:t>
      </w:r>
      <w:r w:rsidR="00462131" w:rsidRPr="00462131">
        <w:rPr>
          <w:rFonts w:ascii="Times New Roman" w:hAnsi="Times New Roman" w:cs="Times New Roman"/>
        </w:rPr>
        <w:t xml:space="preserve"> </w:t>
      </w:r>
      <w:r w:rsidRPr="00462131">
        <w:rPr>
          <w:rFonts w:ascii="Times New Roman" w:hAnsi="Times New Roman" w:cs="Times New Roman"/>
        </w:rPr>
        <w:t>espacios de trabajo.</w:t>
      </w:r>
    </w:p>
    <w:p w:rsidR="00462131" w:rsidRPr="00462131" w:rsidRDefault="00462131" w:rsidP="00462131">
      <w:pPr>
        <w:spacing w:line="360" w:lineRule="auto"/>
        <w:jc w:val="both"/>
        <w:rPr>
          <w:rFonts w:ascii="Times New Roman" w:hAnsi="Times New Roman" w:cs="Times New Roman"/>
        </w:rPr>
      </w:pPr>
      <w:r w:rsidRPr="00462131">
        <w:rPr>
          <w:rFonts w:ascii="Times New Roman" w:hAnsi="Times New Roman" w:cs="Times New Roman"/>
        </w:rPr>
        <w:t>Fase 2- Informe sobre la situación del depósito/reserva:</w:t>
      </w:r>
    </w:p>
    <w:p w:rsidR="00275901" w:rsidRPr="00462131" w:rsidRDefault="00275901" w:rsidP="00462131">
      <w:pPr>
        <w:spacing w:line="360" w:lineRule="auto"/>
        <w:jc w:val="both"/>
        <w:rPr>
          <w:rFonts w:ascii="Times New Roman" w:hAnsi="Times New Roman" w:cs="Times New Roman"/>
        </w:rPr>
      </w:pPr>
      <w:r w:rsidRPr="00462131">
        <w:rPr>
          <w:rFonts w:ascii="Times New Roman" w:hAnsi="Times New Roman" w:cs="Times New Roman"/>
        </w:rPr>
        <w:t xml:space="preserve">En esta fase, </w:t>
      </w:r>
      <w:r w:rsidR="00462131" w:rsidRPr="00462131">
        <w:rPr>
          <w:rFonts w:ascii="Times New Roman" w:hAnsi="Times New Roman" w:cs="Times New Roman"/>
        </w:rPr>
        <w:t xml:space="preserve">se documentará </w:t>
      </w:r>
      <w:r w:rsidRPr="00462131">
        <w:rPr>
          <w:rFonts w:ascii="Times New Roman" w:hAnsi="Times New Roman" w:cs="Times New Roman"/>
        </w:rPr>
        <w:t>y analizará</w:t>
      </w:r>
      <w:r w:rsidR="00462131" w:rsidRPr="00462131">
        <w:rPr>
          <w:rFonts w:ascii="Times New Roman" w:hAnsi="Times New Roman" w:cs="Times New Roman"/>
        </w:rPr>
        <w:t>n</w:t>
      </w:r>
      <w:r w:rsidRPr="00462131">
        <w:rPr>
          <w:rFonts w:ascii="Times New Roman" w:hAnsi="Times New Roman" w:cs="Times New Roman"/>
        </w:rPr>
        <w:t xml:space="preserve"> las condiciones actuales del depósito</w:t>
      </w:r>
      <w:r w:rsidR="00462131" w:rsidRPr="00462131">
        <w:rPr>
          <w:rFonts w:ascii="Times New Roman" w:hAnsi="Times New Roman" w:cs="Times New Roman"/>
        </w:rPr>
        <w:t>/reserva</w:t>
      </w:r>
      <w:r w:rsidRPr="00462131">
        <w:rPr>
          <w:rFonts w:ascii="Times New Roman" w:hAnsi="Times New Roman" w:cs="Times New Roman"/>
        </w:rPr>
        <w:t xml:space="preserve"> y </w:t>
      </w:r>
      <w:r w:rsidR="00462131" w:rsidRPr="00462131">
        <w:rPr>
          <w:rFonts w:ascii="Times New Roman" w:hAnsi="Times New Roman" w:cs="Times New Roman"/>
        </w:rPr>
        <w:t xml:space="preserve">prevé </w:t>
      </w:r>
      <w:r w:rsidRPr="00462131">
        <w:rPr>
          <w:rFonts w:ascii="Times New Roman" w:hAnsi="Times New Roman" w:cs="Times New Roman"/>
        </w:rPr>
        <w:t>elaborar un informe</w:t>
      </w:r>
      <w:r w:rsidR="00462131" w:rsidRPr="00462131">
        <w:rPr>
          <w:rFonts w:ascii="Times New Roman" w:hAnsi="Times New Roman" w:cs="Times New Roman"/>
        </w:rPr>
        <w:t xml:space="preserve"> </w:t>
      </w:r>
      <w:r w:rsidRPr="00462131">
        <w:rPr>
          <w:rFonts w:ascii="Times New Roman" w:hAnsi="Times New Roman" w:cs="Times New Roman"/>
        </w:rPr>
        <w:t>conciso y convincente para la administración que ponga de relieve los principales problemas que afectan a</w:t>
      </w:r>
      <w:r w:rsidR="00462131" w:rsidRPr="00462131">
        <w:rPr>
          <w:rFonts w:ascii="Times New Roman" w:hAnsi="Times New Roman" w:cs="Times New Roman"/>
        </w:rPr>
        <w:t xml:space="preserve"> </w:t>
      </w:r>
      <w:r w:rsidRPr="00462131">
        <w:rPr>
          <w:rFonts w:ascii="Times New Roman" w:hAnsi="Times New Roman" w:cs="Times New Roman"/>
        </w:rPr>
        <w:t xml:space="preserve">la conservación y el acceso. </w:t>
      </w:r>
      <w:r w:rsidR="00462131" w:rsidRPr="00462131">
        <w:rPr>
          <w:rFonts w:ascii="Times New Roman" w:hAnsi="Times New Roman" w:cs="Times New Roman"/>
        </w:rPr>
        <w:t xml:space="preserve">Buscando </w:t>
      </w:r>
      <w:r w:rsidRPr="00462131">
        <w:rPr>
          <w:rFonts w:ascii="Times New Roman" w:hAnsi="Times New Roman" w:cs="Times New Roman"/>
        </w:rPr>
        <w:t>recolectar datos sobre varios aspectos y luego analizarlos,</w:t>
      </w:r>
      <w:r w:rsidR="00462131" w:rsidRPr="00462131">
        <w:rPr>
          <w:rFonts w:ascii="Times New Roman" w:hAnsi="Times New Roman" w:cs="Times New Roman"/>
        </w:rPr>
        <w:t xml:space="preserve"> </w:t>
      </w:r>
      <w:r w:rsidRPr="00462131">
        <w:rPr>
          <w:rFonts w:ascii="Times New Roman" w:hAnsi="Times New Roman" w:cs="Times New Roman"/>
        </w:rPr>
        <w:t>esta fase tomará algo de tiempo.</w:t>
      </w:r>
    </w:p>
    <w:p w:rsidR="00462131" w:rsidRPr="00462131" w:rsidRDefault="00462131" w:rsidP="00462131">
      <w:pPr>
        <w:spacing w:line="360" w:lineRule="auto"/>
        <w:jc w:val="both"/>
        <w:rPr>
          <w:rFonts w:ascii="Times New Roman" w:hAnsi="Times New Roman" w:cs="Times New Roman"/>
        </w:rPr>
      </w:pPr>
      <w:r w:rsidRPr="00462131">
        <w:rPr>
          <w:rFonts w:ascii="Times New Roman" w:hAnsi="Times New Roman" w:cs="Times New Roman"/>
        </w:rPr>
        <w:lastRenderedPageBreak/>
        <w:t>Fase 3- Plan de acción en el depósito:</w:t>
      </w:r>
    </w:p>
    <w:p w:rsidR="00275901" w:rsidRPr="00462131" w:rsidRDefault="00275901" w:rsidP="00462131">
      <w:pPr>
        <w:spacing w:line="360" w:lineRule="auto"/>
        <w:jc w:val="both"/>
        <w:rPr>
          <w:rFonts w:ascii="Times New Roman" w:hAnsi="Times New Roman" w:cs="Times New Roman"/>
        </w:rPr>
      </w:pPr>
      <w:r w:rsidRPr="00462131">
        <w:rPr>
          <w:rFonts w:ascii="Times New Roman" w:hAnsi="Times New Roman" w:cs="Times New Roman"/>
        </w:rPr>
        <w:t>En esta fase</w:t>
      </w:r>
      <w:r w:rsidR="00462131" w:rsidRPr="00462131">
        <w:rPr>
          <w:rFonts w:ascii="Times New Roman" w:hAnsi="Times New Roman" w:cs="Times New Roman"/>
        </w:rPr>
        <w:t>, de discusión de los resultados obtenidos, se utilizará el</w:t>
      </w:r>
      <w:r w:rsidRPr="00462131">
        <w:rPr>
          <w:rFonts w:ascii="Times New Roman" w:hAnsi="Times New Roman" w:cs="Times New Roman"/>
        </w:rPr>
        <w:t xml:space="preserve"> informe sobre condiciones para planificar cada uno de los pasos </w:t>
      </w:r>
      <w:r w:rsidR="00462131" w:rsidRPr="00462131">
        <w:rPr>
          <w:rFonts w:ascii="Times New Roman" w:hAnsi="Times New Roman" w:cs="Times New Roman"/>
        </w:rPr>
        <w:t>del</w:t>
      </w:r>
      <w:r w:rsidRPr="00462131">
        <w:rPr>
          <w:rFonts w:ascii="Times New Roman" w:hAnsi="Times New Roman" w:cs="Times New Roman"/>
        </w:rPr>
        <w:t xml:space="preserve"> proyecto de</w:t>
      </w:r>
      <w:r w:rsidR="00462131" w:rsidRPr="00462131">
        <w:rPr>
          <w:rFonts w:ascii="Times New Roman" w:hAnsi="Times New Roman" w:cs="Times New Roman"/>
        </w:rPr>
        <w:t xml:space="preserve"> </w:t>
      </w:r>
      <w:r w:rsidRPr="00462131">
        <w:rPr>
          <w:rFonts w:ascii="Times New Roman" w:hAnsi="Times New Roman" w:cs="Times New Roman"/>
        </w:rPr>
        <w:t>reorganización.</w:t>
      </w:r>
    </w:p>
    <w:p w:rsidR="00275901" w:rsidRPr="00462131" w:rsidRDefault="00462131" w:rsidP="00462131">
      <w:pPr>
        <w:spacing w:line="360" w:lineRule="auto"/>
        <w:jc w:val="both"/>
        <w:rPr>
          <w:rFonts w:ascii="Times New Roman" w:hAnsi="Times New Roman" w:cs="Times New Roman"/>
        </w:rPr>
      </w:pPr>
      <w:r w:rsidRPr="00462131">
        <w:rPr>
          <w:rFonts w:ascii="Times New Roman" w:hAnsi="Times New Roman" w:cs="Times New Roman"/>
        </w:rPr>
        <w:t>Fase 3 -Implementación de la reorganización del depósito/reserva:</w:t>
      </w:r>
    </w:p>
    <w:p w:rsidR="00462131" w:rsidRPr="00462131" w:rsidRDefault="00462131" w:rsidP="00462131">
      <w:pPr>
        <w:spacing w:line="360" w:lineRule="auto"/>
        <w:jc w:val="both"/>
        <w:rPr>
          <w:rFonts w:ascii="Times New Roman" w:hAnsi="Times New Roman" w:cs="Times New Roman"/>
        </w:rPr>
      </w:pPr>
      <w:r w:rsidRPr="00462131">
        <w:rPr>
          <w:rFonts w:ascii="Times New Roman" w:hAnsi="Times New Roman" w:cs="Times New Roman"/>
        </w:rPr>
        <w:t>En esta fase, de implementación implica la ejecución de un plan de acción de almacenamiento y documentaran todos los cambios para tener un buen registro de las condiciones iniciales del depósito, que permita realizar un seguimiento continuo. Al llegar aquí, el trabajo consistirá en poner los depósitos a funcionar otra vez.</w:t>
      </w:r>
    </w:p>
    <w:p w:rsidR="00275901" w:rsidRDefault="00462131" w:rsidP="00462131">
      <w:pPr>
        <w:spacing w:line="360" w:lineRule="auto"/>
        <w:jc w:val="both"/>
        <w:rPr>
          <w:rFonts w:ascii="Times New Roman" w:hAnsi="Times New Roman" w:cs="Times New Roman"/>
        </w:rPr>
      </w:pPr>
      <w:r>
        <w:rPr>
          <w:rFonts w:ascii="Times New Roman" w:hAnsi="Times New Roman" w:cs="Times New Roman"/>
        </w:rPr>
        <w:t xml:space="preserve">El presente proyecto propone a lo largo del 2025 realizar las tres primeras etapas de diagnostico y control de los diversos espacios y sistemas que conforman la Reserva Patrimonial del Museo de Antropologías, </w:t>
      </w:r>
      <w:r w:rsidR="0043058D">
        <w:rPr>
          <w:rFonts w:ascii="Times New Roman" w:hAnsi="Times New Roman" w:cs="Times New Roman"/>
        </w:rPr>
        <w:t>para luego en el año siguiente implementar el plan de acción trazado. Por ello se aspira a conformar un equipo profesional con adscriptos que puedan tener autonomía en los procesos de identificación y diagnostico del trabajo y asuman un compromiso de trabajo bianual a fin de complimentar los objetivos del proyecto.</w:t>
      </w:r>
    </w:p>
    <w:p w:rsidR="0043058D" w:rsidRPr="00462131" w:rsidRDefault="0043058D" w:rsidP="00462131">
      <w:pPr>
        <w:spacing w:line="360" w:lineRule="auto"/>
        <w:jc w:val="both"/>
        <w:rPr>
          <w:rFonts w:ascii="Times New Roman" w:hAnsi="Times New Roman" w:cs="Times New Roman"/>
        </w:rPr>
      </w:pPr>
    </w:p>
    <w:p w:rsidR="00EF2FEF" w:rsidRPr="00462131" w:rsidRDefault="002A65E3" w:rsidP="00462131">
      <w:pPr>
        <w:spacing w:line="360" w:lineRule="auto"/>
        <w:jc w:val="both"/>
        <w:rPr>
          <w:rFonts w:ascii="Times New Roman" w:hAnsi="Times New Roman" w:cs="Times New Roman"/>
        </w:rPr>
      </w:pPr>
      <w:r w:rsidRPr="00462131">
        <w:rPr>
          <w:rFonts w:ascii="Times New Roman" w:hAnsi="Times New Roman" w:cs="Times New Roman"/>
        </w:rPr>
        <w:t xml:space="preserve">Bibliografía </w:t>
      </w:r>
    </w:p>
    <w:p w:rsidR="006F61C4" w:rsidRDefault="006F61C4" w:rsidP="00462131">
      <w:pPr>
        <w:spacing w:line="360" w:lineRule="auto"/>
        <w:jc w:val="both"/>
        <w:rPr>
          <w:rFonts w:ascii="Times New Roman" w:hAnsi="Times New Roman" w:cs="Times New Roman"/>
        </w:rPr>
      </w:pPr>
      <w:r w:rsidRPr="006F61C4">
        <w:rPr>
          <w:rFonts w:ascii="Times New Roman" w:hAnsi="Times New Roman" w:cs="Times New Roman"/>
        </w:rPr>
        <w:t>de Antropología-IDACOR</w:t>
      </w:r>
      <w:r w:rsidR="00833B7B">
        <w:rPr>
          <w:rFonts w:ascii="Times New Roman" w:hAnsi="Times New Roman" w:cs="Times New Roman"/>
        </w:rPr>
        <w:t xml:space="preserve"> (2023)</w:t>
      </w:r>
      <w:r w:rsidRPr="006F61C4">
        <w:rPr>
          <w:rFonts w:ascii="Times New Roman" w:hAnsi="Times New Roman" w:cs="Times New Roman"/>
        </w:rPr>
        <w:t>, M. Catálogo de fichas musicológicas y fotografías. Córdoba: tierra que baila y suena.</w:t>
      </w:r>
    </w:p>
    <w:p w:rsidR="00833B7B" w:rsidRDefault="00833B7B" w:rsidP="00462131">
      <w:pPr>
        <w:spacing w:line="360" w:lineRule="auto"/>
        <w:jc w:val="both"/>
        <w:rPr>
          <w:rFonts w:ascii="Times New Roman" w:hAnsi="Times New Roman" w:cs="Times New Roman"/>
        </w:rPr>
      </w:pPr>
      <w:r w:rsidRPr="006F61C4">
        <w:rPr>
          <w:rFonts w:ascii="Times New Roman" w:hAnsi="Times New Roman" w:cs="Times New Roman"/>
        </w:rPr>
        <w:t>de Antropología-IDACOR</w:t>
      </w:r>
      <w:r>
        <w:rPr>
          <w:rFonts w:ascii="Times New Roman" w:hAnsi="Times New Roman" w:cs="Times New Roman"/>
        </w:rPr>
        <w:t xml:space="preserve"> (2024)</w:t>
      </w:r>
      <w:r w:rsidRPr="006F61C4">
        <w:rPr>
          <w:rFonts w:ascii="Times New Roman" w:hAnsi="Times New Roman" w:cs="Times New Roman"/>
        </w:rPr>
        <w:t>,</w:t>
      </w:r>
      <w:r>
        <w:rPr>
          <w:rFonts w:ascii="Times New Roman" w:hAnsi="Times New Roman" w:cs="Times New Roman"/>
        </w:rPr>
        <w:t xml:space="preserve"> Arroyo Leyes Miradas y voces de un patrimonio Afro argentino. 2° Catalogo del Museo de Antropologías.</w:t>
      </w:r>
    </w:p>
    <w:p w:rsidR="0044737F" w:rsidRPr="00462131" w:rsidRDefault="00275901" w:rsidP="00462131">
      <w:pPr>
        <w:spacing w:line="360" w:lineRule="auto"/>
        <w:jc w:val="both"/>
        <w:rPr>
          <w:rFonts w:ascii="Times New Roman" w:hAnsi="Times New Roman" w:cs="Times New Roman"/>
        </w:rPr>
      </w:pPr>
      <w:r w:rsidRPr="00462131">
        <w:rPr>
          <w:rFonts w:ascii="Times New Roman" w:hAnsi="Times New Roman" w:cs="Times New Roman"/>
        </w:rPr>
        <w:t>IBERMUSEOS, ICRROM</w:t>
      </w:r>
      <w:r w:rsidR="00833B7B">
        <w:rPr>
          <w:rFonts w:ascii="Times New Roman" w:hAnsi="Times New Roman" w:cs="Times New Roman"/>
        </w:rPr>
        <w:t xml:space="preserve"> (2017)</w:t>
      </w:r>
      <w:r w:rsidRPr="00462131">
        <w:rPr>
          <w:rFonts w:ascii="Times New Roman" w:hAnsi="Times New Roman" w:cs="Times New Roman"/>
        </w:rPr>
        <w:t>. Re-</w:t>
      </w:r>
      <w:proofErr w:type="spellStart"/>
      <w:r w:rsidRPr="00462131">
        <w:rPr>
          <w:rFonts w:ascii="Times New Roman" w:hAnsi="Times New Roman" w:cs="Times New Roman"/>
        </w:rPr>
        <w:t>Org</w:t>
      </w:r>
      <w:proofErr w:type="spellEnd"/>
      <w:r w:rsidRPr="00462131">
        <w:rPr>
          <w:rFonts w:ascii="Times New Roman" w:hAnsi="Times New Roman" w:cs="Times New Roman"/>
        </w:rPr>
        <w:t>. Un método para reorganizar el depósito de un museo. I. Libro de Trabajo, 2017</w:t>
      </w:r>
    </w:p>
    <w:p w:rsidR="002A65E3" w:rsidRPr="00462131" w:rsidRDefault="002A65E3" w:rsidP="00462131">
      <w:pPr>
        <w:spacing w:line="360" w:lineRule="auto"/>
        <w:jc w:val="both"/>
        <w:rPr>
          <w:rFonts w:ascii="Times New Roman" w:hAnsi="Times New Roman" w:cs="Times New Roman"/>
        </w:rPr>
      </w:pPr>
      <w:r w:rsidRPr="00462131">
        <w:rPr>
          <w:rFonts w:ascii="Times New Roman" w:hAnsi="Times New Roman" w:cs="Times New Roman"/>
        </w:rPr>
        <w:t>Izeta A. D. (201</w:t>
      </w:r>
      <w:r w:rsidR="0044737F" w:rsidRPr="00462131">
        <w:rPr>
          <w:rFonts w:ascii="Times New Roman" w:hAnsi="Times New Roman" w:cs="Times New Roman"/>
        </w:rPr>
        <w:t>3</w:t>
      </w:r>
      <w:r w:rsidRPr="00462131">
        <w:rPr>
          <w:rFonts w:ascii="Times New Roman" w:hAnsi="Times New Roman" w:cs="Times New Roman"/>
        </w:rPr>
        <w:t>) 4er INFORME PARCIAL Proyecto de Apoyo a la Informatización de las Colecciones y Archivo Documental del Museo de Antropología (FFyH, UNC)</w:t>
      </w:r>
      <w:r w:rsidR="0044737F" w:rsidRPr="00462131">
        <w:rPr>
          <w:rFonts w:ascii="Times New Roman" w:hAnsi="Times New Roman" w:cs="Times New Roman"/>
        </w:rPr>
        <w:t>, Ms.</w:t>
      </w:r>
    </w:p>
    <w:p w:rsidR="0044737F" w:rsidRPr="00462131" w:rsidRDefault="0044737F" w:rsidP="00462131">
      <w:pPr>
        <w:spacing w:line="360" w:lineRule="auto"/>
        <w:jc w:val="both"/>
        <w:rPr>
          <w:rFonts w:ascii="Times New Roman" w:hAnsi="Times New Roman" w:cs="Times New Roman"/>
        </w:rPr>
      </w:pPr>
      <w:r w:rsidRPr="00462131">
        <w:rPr>
          <w:rFonts w:ascii="Times New Roman" w:hAnsi="Times New Roman" w:cs="Times New Roman"/>
        </w:rPr>
        <w:t>Bonnin, M. (2003). Informe de Gestión. Museo de Antropología, Facultad de Filosofía y Humanidades, Universidad Nacional de Córdoba. 2003. Manuscrito inédito.</w:t>
      </w:r>
    </w:p>
    <w:p w:rsidR="000B75E5" w:rsidRPr="000B75E5" w:rsidRDefault="000B75E5" w:rsidP="000B75E5">
      <w:pPr>
        <w:spacing w:line="360" w:lineRule="auto"/>
        <w:jc w:val="both"/>
        <w:rPr>
          <w:rFonts w:ascii="Times New Roman" w:hAnsi="Times New Roman" w:cs="Times New Roman"/>
        </w:rPr>
      </w:pPr>
      <w:r w:rsidRPr="000B75E5">
        <w:rPr>
          <w:rFonts w:ascii="Times New Roman" w:hAnsi="Times New Roman" w:cs="Times New Roman"/>
        </w:rPr>
        <w:t>Bonnin, M. (2005). Informe de Gestión. Museo de Antropología, Facultad de Filosofía y Humanidades, Universidad Nacional de Córdoba. 2005. Manuscrito inédito.</w:t>
      </w:r>
    </w:p>
    <w:p w:rsidR="000B75E5" w:rsidRDefault="0050743D" w:rsidP="000B75E5">
      <w:pPr>
        <w:spacing w:line="360" w:lineRule="auto"/>
        <w:jc w:val="both"/>
        <w:rPr>
          <w:rFonts w:ascii="Times New Roman" w:hAnsi="Times New Roman" w:cs="Times New Roman"/>
        </w:rPr>
      </w:pPr>
      <w:hyperlink r:id="rId7" w:history="1">
        <w:r w:rsidR="000B75E5" w:rsidRPr="00BA77DD">
          <w:rPr>
            <w:rStyle w:val="Hipervnculo"/>
            <w:rFonts w:ascii="Times New Roman" w:hAnsi="Times New Roman" w:cs="Times New Roman"/>
          </w:rPr>
          <w:t>https://suquia.ffyh.unc.edu.ar/handle/suquia/3481</w:t>
        </w:r>
      </w:hyperlink>
    </w:p>
    <w:p w:rsidR="0044737F" w:rsidRPr="00462131" w:rsidRDefault="0044737F" w:rsidP="000B75E5">
      <w:pPr>
        <w:spacing w:line="360" w:lineRule="auto"/>
        <w:jc w:val="both"/>
        <w:rPr>
          <w:rFonts w:ascii="Times New Roman" w:hAnsi="Times New Roman" w:cs="Times New Roman"/>
        </w:rPr>
      </w:pPr>
      <w:r w:rsidRPr="00462131">
        <w:rPr>
          <w:rFonts w:ascii="Times New Roman" w:hAnsi="Times New Roman" w:cs="Times New Roman"/>
        </w:rPr>
        <w:t xml:space="preserve">Cattáneo, G., R. (2013). Informe de Gestión. Museo de Antropología, Facultad de Filosofía y Humanidades, Universidad Nacional de Córdoba. Manuscrito inédito. </w:t>
      </w:r>
      <w:hyperlink r:id="rId8" w:history="1">
        <w:r w:rsidRPr="00462131">
          <w:rPr>
            <w:rStyle w:val="Hipervnculo"/>
            <w:rFonts w:ascii="Times New Roman" w:hAnsi="Times New Roman" w:cs="Times New Roman"/>
          </w:rPr>
          <w:t>https://suquia.ffyh.unc.edu.ar/bitstream/handle/suquia/3502/Informe%20Gesti%C3%B3n%202013.pdf?sequence=1</w:t>
        </w:r>
      </w:hyperlink>
    </w:p>
    <w:p w:rsidR="0044737F" w:rsidRPr="00462131" w:rsidRDefault="0044737F" w:rsidP="00462131">
      <w:pPr>
        <w:spacing w:line="360" w:lineRule="auto"/>
        <w:jc w:val="both"/>
        <w:rPr>
          <w:rFonts w:ascii="Times New Roman" w:hAnsi="Times New Roman" w:cs="Times New Roman"/>
        </w:rPr>
      </w:pPr>
      <w:r w:rsidRPr="00462131">
        <w:rPr>
          <w:rFonts w:ascii="Times New Roman" w:hAnsi="Times New Roman" w:cs="Times New Roman"/>
        </w:rPr>
        <w:t xml:space="preserve">Pautassi, E., Aimar, C., </w:t>
      </w:r>
      <w:proofErr w:type="spellStart"/>
      <w:r w:rsidRPr="00462131">
        <w:rPr>
          <w:rFonts w:ascii="Times New Roman" w:hAnsi="Times New Roman" w:cs="Times New Roman"/>
        </w:rPr>
        <w:t>Angaroni</w:t>
      </w:r>
      <w:proofErr w:type="spellEnd"/>
      <w:r w:rsidRPr="00462131">
        <w:rPr>
          <w:rFonts w:ascii="Times New Roman" w:hAnsi="Times New Roman" w:cs="Times New Roman"/>
        </w:rPr>
        <w:t>, I. (20</w:t>
      </w:r>
      <w:r w:rsidR="0056738D" w:rsidRPr="00462131">
        <w:rPr>
          <w:rFonts w:ascii="Times New Roman" w:hAnsi="Times New Roman" w:cs="Times New Roman"/>
        </w:rPr>
        <w:t>19</w:t>
      </w:r>
      <w:r w:rsidRPr="00462131">
        <w:rPr>
          <w:rFonts w:ascii="Times New Roman" w:hAnsi="Times New Roman" w:cs="Times New Roman"/>
        </w:rPr>
        <w:t>). Historias de la reserva: un abordaje de las colecciones arqueológicas de Córdoba. Sociedades de paisajes Áridos y semiáridos, Laboratorio de Arqueología y Etnohistoria, Departamento de Historia, Facultad de Ciencias Humanas, UNRC.</w:t>
      </w:r>
    </w:p>
    <w:p w:rsidR="0044737F" w:rsidRPr="00462131" w:rsidRDefault="0056738D" w:rsidP="00462131">
      <w:pPr>
        <w:spacing w:line="360" w:lineRule="auto"/>
        <w:jc w:val="both"/>
        <w:rPr>
          <w:rFonts w:ascii="Times New Roman" w:hAnsi="Times New Roman" w:cs="Times New Roman"/>
        </w:rPr>
      </w:pPr>
      <w:r w:rsidRPr="00462131">
        <w:rPr>
          <w:rFonts w:ascii="Times New Roman" w:hAnsi="Times New Roman" w:cs="Times New Roman"/>
        </w:rPr>
        <w:t xml:space="preserve">Pautassi E., e I. Prado (2021). Estrategias y búsquedas para controlar las condiciones ambientales de la Reserva Patrimonial del Museo de Antropología FFyH-UNC. Aceptado para ser publicado en las actas del simposio La luz en el Museo y el cuidado del Patrimonio. Libro de trabajos completos III LEEM Simposio La Luz en el Museo y el Cuidado del Patrimonio. Raúl </w:t>
      </w:r>
      <w:proofErr w:type="spellStart"/>
      <w:r w:rsidRPr="00462131">
        <w:rPr>
          <w:rFonts w:ascii="Times New Roman" w:hAnsi="Times New Roman" w:cs="Times New Roman"/>
        </w:rPr>
        <w:t>Ajmat</w:t>
      </w:r>
      <w:proofErr w:type="spellEnd"/>
      <w:r w:rsidRPr="00462131">
        <w:rPr>
          <w:rFonts w:ascii="Times New Roman" w:hAnsi="Times New Roman" w:cs="Times New Roman"/>
        </w:rPr>
        <w:t xml:space="preserve">... [et al.]; compilación de </w:t>
      </w:r>
      <w:proofErr w:type="spellStart"/>
      <w:r w:rsidRPr="00462131">
        <w:rPr>
          <w:rFonts w:ascii="Times New Roman" w:hAnsi="Times New Roman" w:cs="Times New Roman"/>
        </w:rPr>
        <w:t>Raul</w:t>
      </w:r>
      <w:proofErr w:type="spellEnd"/>
      <w:r w:rsidRPr="00462131">
        <w:rPr>
          <w:rFonts w:ascii="Times New Roman" w:hAnsi="Times New Roman" w:cs="Times New Roman"/>
        </w:rPr>
        <w:t xml:space="preserve"> Fernando </w:t>
      </w:r>
      <w:proofErr w:type="spellStart"/>
      <w:r w:rsidRPr="00462131">
        <w:rPr>
          <w:rFonts w:ascii="Times New Roman" w:hAnsi="Times New Roman" w:cs="Times New Roman"/>
        </w:rPr>
        <w:t>Ajmat</w:t>
      </w:r>
      <w:proofErr w:type="spellEnd"/>
      <w:r w:rsidRPr="00462131">
        <w:rPr>
          <w:rFonts w:ascii="Times New Roman" w:hAnsi="Times New Roman" w:cs="Times New Roman"/>
        </w:rPr>
        <w:t>... [et al.]. San Miguel de Tucumán: UNT. Facultad de Ciencias Exactas y Tecnología de la Universidad Nacional de Tucumán, 2021. ISBN 978-987-754-273-8.</w:t>
      </w:r>
    </w:p>
    <w:p w:rsidR="000B75E5" w:rsidRDefault="000B75E5" w:rsidP="00462131">
      <w:pPr>
        <w:spacing w:line="360" w:lineRule="auto"/>
        <w:jc w:val="both"/>
        <w:rPr>
          <w:rFonts w:ascii="Times New Roman" w:hAnsi="Times New Roman" w:cs="Times New Roman"/>
        </w:rPr>
      </w:pPr>
      <w:r w:rsidRPr="000B75E5">
        <w:rPr>
          <w:rFonts w:ascii="Times New Roman" w:hAnsi="Times New Roman" w:cs="Times New Roman"/>
        </w:rPr>
        <w:t xml:space="preserve">Pautassi, E.; Burgos, M.; M. Cohen, L. </w:t>
      </w:r>
      <w:proofErr w:type="spellStart"/>
      <w:r w:rsidRPr="000B75E5">
        <w:rPr>
          <w:rFonts w:ascii="Times New Roman" w:hAnsi="Times New Roman" w:cs="Times New Roman"/>
        </w:rPr>
        <w:t>e</w:t>
      </w:r>
      <w:proofErr w:type="spellEnd"/>
      <w:r w:rsidRPr="000B75E5">
        <w:rPr>
          <w:rFonts w:ascii="Times New Roman" w:hAnsi="Times New Roman" w:cs="Times New Roman"/>
        </w:rPr>
        <w:t xml:space="preserve"> I., Prado. (2024) </w:t>
      </w:r>
      <w:proofErr w:type="spellStart"/>
      <w:r w:rsidRPr="000B75E5">
        <w:rPr>
          <w:rFonts w:ascii="Times New Roman" w:hAnsi="Times New Roman" w:cs="Times New Roman"/>
        </w:rPr>
        <w:t>Bioaerosoles</w:t>
      </w:r>
      <w:proofErr w:type="spellEnd"/>
      <w:r w:rsidRPr="000B75E5">
        <w:rPr>
          <w:rFonts w:ascii="Times New Roman" w:hAnsi="Times New Roman" w:cs="Times New Roman"/>
        </w:rPr>
        <w:t xml:space="preserve"> en reservas patrimoniales universitarias, aportes desde estudios comparativos: Museo de Antropologías FFyH-UNC e Instituto de Arqueología y Museo-UNT, en libro de resúmenes / Andrés Darío Izeta. [et al.] – Córdoba - UNC-FFyH, 2024. Libro digital, ISBN 978-950-33-1808-9. </w:t>
      </w:r>
      <w:proofErr w:type="spellStart"/>
      <w:r w:rsidRPr="000B75E5">
        <w:rPr>
          <w:rFonts w:ascii="Times New Roman" w:hAnsi="Times New Roman" w:cs="Times New Roman"/>
        </w:rPr>
        <w:t>pp</w:t>
      </w:r>
      <w:proofErr w:type="spellEnd"/>
      <w:r w:rsidRPr="000B75E5">
        <w:rPr>
          <w:rFonts w:ascii="Times New Roman" w:hAnsi="Times New Roman" w:cs="Times New Roman"/>
        </w:rPr>
        <w:t>: 243-244.</w:t>
      </w:r>
    </w:p>
    <w:p w:rsidR="0044737F" w:rsidRPr="00462131" w:rsidRDefault="0044737F" w:rsidP="00462131">
      <w:pPr>
        <w:spacing w:line="360" w:lineRule="auto"/>
        <w:jc w:val="both"/>
        <w:rPr>
          <w:rFonts w:ascii="Times New Roman" w:hAnsi="Times New Roman" w:cs="Times New Roman"/>
        </w:rPr>
      </w:pPr>
      <w:r w:rsidRPr="00462131">
        <w:rPr>
          <w:rFonts w:ascii="Times New Roman" w:hAnsi="Times New Roman" w:cs="Times New Roman"/>
        </w:rPr>
        <w:t>Quiroga, D. (2008). Informe de Área de Conservación. En: Informe de Gestión del Museo de Antropología, Facultad de Filosofía y Humanidades, Universidad Nacional de Córdoba. Simmons, J.E., Muñoz-Saba, Y. (2005). Cuidado, manejo y conservación de las colecciones biológicas. Universidad Nacional de Colombia.</w:t>
      </w:r>
    </w:p>
    <w:p w:rsidR="002A65E3" w:rsidRPr="00462131" w:rsidRDefault="002A65E3" w:rsidP="00462131">
      <w:pPr>
        <w:spacing w:line="360" w:lineRule="auto"/>
        <w:jc w:val="both"/>
        <w:rPr>
          <w:rFonts w:ascii="Times New Roman" w:hAnsi="Times New Roman" w:cs="Times New Roman"/>
        </w:rPr>
      </w:pPr>
    </w:p>
    <w:p w:rsidR="002A65E3" w:rsidRPr="002A65E3" w:rsidRDefault="002A65E3" w:rsidP="0082608C">
      <w:pPr>
        <w:pStyle w:val="Prrafodelista"/>
        <w:ind w:firstLine="360"/>
        <w:jc w:val="both"/>
        <w:rPr>
          <w:rFonts w:ascii="Book Antiqua" w:hAnsi="Book Antiqua"/>
          <w:b/>
        </w:rPr>
      </w:pPr>
    </w:p>
    <w:sectPr w:rsidR="002A65E3" w:rsidRPr="002A65E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743D" w:rsidRDefault="0050743D" w:rsidP="004B32AC">
      <w:pPr>
        <w:spacing w:after="0" w:line="240" w:lineRule="auto"/>
      </w:pPr>
      <w:r>
        <w:separator/>
      </w:r>
    </w:p>
  </w:endnote>
  <w:endnote w:type="continuationSeparator" w:id="0">
    <w:p w:rsidR="0050743D" w:rsidRDefault="0050743D" w:rsidP="004B32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743D" w:rsidRDefault="0050743D" w:rsidP="004B32AC">
      <w:pPr>
        <w:spacing w:after="0" w:line="240" w:lineRule="auto"/>
      </w:pPr>
      <w:r>
        <w:separator/>
      </w:r>
    </w:p>
  </w:footnote>
  <w:footnote w:type="continuationSeparator" w:id="0">
    <w:p w:rsidR="0050743D" w:rsidRDefault="0050743D" w:rsidP="004B32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775F12"/>
    <w:multiLevelType w:val="hybridMultilevel"/>
    <w:tmpl w:val="BAFE4FA4"/>
    <w:lvl w:ilvl="0" w:tplc="AA4005BC">
      <w:start w:val="1"/>
      <w:numFmt w:val="decimal"/>
      <w:lvlText w:val="%1."/>
      <w:lvlJc w:val="left"/>
      <w:pPr>
        <w:ind w:left="1211" w:hanging="360"/>
      </w:pPr>
      <w:rPr>
        <w:rFonts w:ascii="Garamond" w:eastAsia="Times New Roman" w:hAnsi="Garamond"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4E7A594E"/>
    <w:multiLevelType w:val="hybridMultilevel"/>
    <w:tmpl w:val="99B412F2"/>
    <w:lvl w:ilvl="0" w:tplc="0AE2DD94">
      <w:start w:val="1"/>
      <w:numFmt w:val="decimal"/>
      <w:lvlText w:val="%1."/>
      <w:lvlJc w:val="left"/>
      <w:pPr>
        <w:tabs>
          <w:tab w:val="num" w:pos="720"/>
        </w:tabs>
        <w:ind w:left="720" w:hanging="360"/>
      </w:pPr>
      <w:rPr>
        <w:rFonts w:asciiTheme="minorHAnsi" w:eastAsiaTheme="minorHAnsi" w:hAnsiTheme="minorHAnsi" w:cstheme="minorBidi"/>
      </w:rPr>
    </w:lvl>
    <w:lvl w:ilvl="1" w:tplc="6EA064E2" w:tentative="1">
      <w:start w:val="1"/>
      <w:numFmt w:val="bullet"/>
      <w:lvlText w:val=""/>
      <w:lvlJc w:val="left"/>
      <w:pPr>
        <w:tabs>
          <w:tab w:val="num" w:pos="1440"/>
        </w:tabs>
        <w:ind w:left="1440" w:hanging="360"/>
      </w:pPr>
      <w:rPr>
        <w:rFonts w:ascii="Wingdings 2" w:hAnsi="Wingdings 2" w:hint="default"/>
      </w:rPr>
    </w:lvl>
    <w:lvl w:ilvl="2" w:tplc="CA6AFACC" w:tentative="1">
      <w:start w:val="1"/>
      <w:numFmt w:val="bullet"/>
      <w:lvlText w:val=""/>
      <w:lvlJc w:val="left"/>
      <w:pPr>
        <w:tabs>
          <w:tab w:val="num" w:pos="2160"/>
        </w:tabs>
        <w:ind w:left="2160" w:hanging="360"/>
      </w:pPr>
      <w:rPr>
        <w:rFonts w:ascii="Wingdings 2" w:hAnsi="Wingdings 2" w:hint="default"/>
      </w:rPr>
    </w:lvl>
    <w:lvl w:ilvl="3" w:tplc="16447374" w:tentative="1">
      <w:start w:val="1"/>
      <w:numFmt w:val="bullet"/>
      <w:lvlText w:val=""/>
      <w:lvlJc w:val="left"/>
      <w:pPr>
        <w:tabs>
          <w:tab w:val="num" w:pos="2880"/>
        </w:tabs>
        <w:ind w:left="2880" w:hanging="360"/>
      </w:pPr>
      <w:rPr>
        <w:rFonts w:ascii="Wingdings 2" w:hAnsi="Wingdings 2" w:hint="default"/>
      </w:rPr>
    </w:lvl>
    <w:lvl w:ilvl="4" w:tplc="C5363166" w:tentative="1">
      <w:start w:val="1"/>
      <w:numFmt w:val="bullet"/>
      <w:lvlText w:val=""/>
      <w:lvlJc w:val="left"/>
      <w:pPr>
        <w:tabs>
          <w:tab w:val="num" w:pos="3600"/>
        </w:tabs>
        <w:ind w:left="3600" w:hanging="360"/>
      </w:pPr>
      <w:rPr>
        <w:rFonts w:ascii="Wingdings 2" w:hAnsi="Wingdings 2" w:hint="default"/>
      </w:rPr>
    </w:lvl>
    <w:lvl w:ilvl="5" w:tplc="80DCF856" w:tentative="1">
      <w:start w:val="1"/>
      <w:numFmt w:val="bullet"/>
      <w:lvlText w:val=""/>
      <w:lvlJc w:val="left"/>
      <w:pPr>
        <w:tabs>
          <w:tab w:val="num" w:pos="4320"/>
        </w:tabs>
        <w:ind w:left="4320" w:hanging="360"/>
      </w:pPr>
      <w:rPr>
        <w:rFonts w:ascii="Wingdings 2" w:hAnsi="Wingdings 2" w:hint="default"/>
      </w:rPr>
    </w:lvl>
    <w:lvl w:ilvl="6" w:tplc="B7B8B112" w:tentative="1">
      <w:start w:val="1"/>
      <w:numFmt w:val="bullet"/>
      <w:lvlText w:val=""/>
      <w:lvlJc w:val="left"/>
      <w:pPr>
        <w:tabs>
          <w:tab w:val="num" w:pos="5040"/>
        </w:tabs>
        <w:ind w:left="5040" w:hanging="360"/>
      </w:pPr>
      <w:rPr>
        <w:rFonts w:ascii="Wingdings 2" w:hAnsi="Wingdings 2" w:hint="default"/>
      </w:rPr>
    </w:lvl>
    <w:lvl w:ilvl="7" w:tplc="8EF25528" w:tentative="1">
      <w:start w:val="1"/>
      <w:numFmt w:val="bullet"/>
      <w:lvlText w:val=""/>
      <w:lvlJc w:val="left"/>
      <w:pPr>
        <w:tabs>
          <w:tab w:val="num" w:pos="5760"/>
        </w:tabs>
        <w:ind w:left="5760" w:hanging="360"/>
      </w:pPr>
      <w:rPr>
        <w:rFonts w:ascii="Wingdings 2" w:hAnsi="Wingdings 2" w:hint="default"/>
      </w:rPr>
    </w:lvl>
    <w:lvl w:ilvl="8" w:tplc="554E0A54" w:tentative="1">
      <w:start w:val="1"/>
      <w:numFmt w:val="bullet"/>
      <w:lvlText w:val=""/>
      <w:lvlJc w:val="left"/>
      <w:pPr>
        <w:tabs>
          <w:tab w:val="num" w:pos="6480"/>
        </w:tabs>
        <w:ind w:left="6480" w:hanging="360"/>
      </w:pPr>
      <w:rPr>
        <w:rFonts w:ascii="Wingdings 2" w:hAnsi="Wingdings 2" w:hint="default"/>
      </w:rPr>
    </w:lvl>
  </w:abstractNum>
  <w:abstractNum w:abstractNumId="2" w15:restartNumberingAfterBreak="0">
    <w:nsid w:val="63A570B0"/>
    <w:multiLevelType w:val="hybridMultilevel"/>
    <w:tmpl w:val="D2AC97BA"/>
    <w:lvl w:ilvl="0" w:tplc="41524BC8">
      <w:start w:val="1"/>
      <w:numFmt w:val="decimal"/>
      <w:lvlText w:val="%1."/>
      <w:lvlJc w:val="left"/>
      <w:pPr>
        <w:tabs>
          <w:tab w:val="num" w:pos="720"/>
        </w:tabs>
        <w:ind w:left="720" w:hanging="360"/>
      </w:pPr>
    </w:lvl>
    <w:lvl w:ilvl="1" w:tplc="A6045136" w:tentative="1">
      <w:start w:val="1"/>
      <w:numFmt w:val="decimal"/>
      <w:lvlText w:val="%2."/>
      <w:lvlJc w:val="left"/>
      <w:pPr>
        <w:tabs>
          <w:tab w:val="num" w:pos="1440"/>
        </w:tabs>
        <w:ind w:left="1440" w:hanging="360"/>
      </w:pPr>
    </w:lvl>
    <w:lvl w:ilvl="2" w:tplc="0256E446" w:tentative="1">
      <w:start w:val="1"/>
      <w:numFmt w:val="decimal"/>
      <w:lvlText w:val="%3."/>
      <w:lvlJc w:val="left"/>
      <w:pPr>
        <w:tabs>
          <w:tab w:val="num" w:pos="2160"/>
        </w:tabs>
        <w:ind w:left="2160" w:hanging="360"/>
      </w:pPr>
    </w:lvl>
    <w:lvl w:ilvl="3" w:tplc="E05A9010" w:tentative="1">
      <w:start w:val="1"/>
      <w:numFmt w:val="decimal"/>
      <w:lvlText w:val="%4."/>
      <w:lvlJc w:val="left"/>
      <w:pPr>
        <w:tabs>
          <w:tab w:val="num" w:pos="2880"/>
        </w:tabs>
        <w:ind w:left="2880" w:hanging="360"/>
      </w:pPr>
    </w:lvl>
    <w:lvl w:ilvl="4" w:tplc="2EFCC27A" w:tentative="1">
      <w:start w:val="1"/>
      <w:numFmt w:val="decimal"/>
      <w:lvlText w:val="%5."/>
      <w:lvlJc w:val="left"/>
      <w:pPr>
        <w:tabs>
          <w:tab w:val="num" w:pos="3600"/>
        </w:tabs>
        <w:ind w:left="3600" w:hanging="360"/>
      </w:pPr>
    </w:lvl>
    <w:lvl w:ilvl="5" w:tplc="33744674" w:tentative="1">
      <w:start w:val="1"/>
      <w:numFmt w:val="decimal"/>
      <w:lvlText w:val="%6."/>
      <w:lvlJc w:val="left"/>
      <w:pPr>
        <w:tabs>
          <w:tab w:val="num" w:pos="4320"/>
        </w:tabs>
        <w:ind w:left="4320" w:hanging="360"/>
      </w:pPr>
    </w:lvl>
    <w:lvl w:ilvl="6" w:tplc="5B680532" w:tentative="1">
      <w:start w:val="1"/>
      <w:numFmt w:val="decimal"/>
      <w:lvlText w:val="%7."/>
      <w:lvlJc w:val="left"/>
      <w:pPr>
        <w:tabs>
          <w:tab w:val="num" w:pos="5040"/>
        </w:tabs>
        <w:ind w:left="5040" w:hanging="360"/>
      </w:pPr>
    </w:lvl>
    <w:lvl w:ilvl="7" w:tplc="9F0AE576" w:tentative="1">
      <w:start w:val="1"/>
      <w:numFmt w:val="decimal"/>
      <w:lvlText w:val="%8."/>
      <w:lvlJc w:val="left"/>
      <w:pPr>
        <w:tabs>
          <w:tab w:val="num" w:pos="5760"/>
        </w:tabs>
        <w:ind w:left="5760" w:hanging="360"/>
      </w:pPr>
    </w:lvl>
    <w:lvl w:ilvl="8" w:tplc="915AC94C" w:tentative="1">
      <w:start w:val="1"/>
      <w:numFmt w:val="decimal"/>
      <w:lvlText w:val="%9."/>
      <w:lvlJc w:val="left"/>
      <w:pPr>
        <w:tabs>
          <w:tab w:val="num" w:pos="6480"/>
        </w:tabs>
        <w:ind w:left="6480" w:hanging="360"/>
      </w:pPr>
    </w:lvl>
  </w:abstractNum>
  <w:abstractNum w:abstractNumId="3" w15:restartNumberingAfterBreak="0">
    <w:nsid w:val="664C365B"/>
    <w:multiLevelType w:val="hybridMultilevel"/>
    <w:tmpl w:val="91C0FA8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74DC74D8"/>
    <w:multiLevelType w:val="hybridMultilevel"/>
    <w:tmpl w:val="0C00D8C6"/>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5C3"/>
    <w:rsid w:val="000051F4"/>
    <w:rsid w:val="00031150"/>
    <w:rsid w:val="00037483"/>
    <w:rsid w:val="00085C3C"/>
    <w:rsid w:val="000B75E5"/>
    <w:rsid w:val="001569FA"/>
    <w:rsid w:val="00162D30"/>
    <w:rsid w:val="0016499E"/>
    <w:rsid w:val="00165DFC"/>
    <w:rsid w:val="001732ED"/>
    <w:rsid w:val="00177C09"/>
    <w:rsid w:val="00231B57"/>
    <w:rsid w:val="002436A9"/>
    <w:rsid w:val="00245A04"/>
    <w:rsid w:val="00275901"/>
    <w:rsid w:val="002A65E3"/>
    <w:rsid w:val="002D1139"/>
    <w:rsid w:val="00345725"/>
    <w:rsid w:val="00353A47"/>
    <w:rsid w:val="003D38B7"/>
    <w:rsid w:val="0043058D"/>
    <w:rsid w:val="00436DBE"/>
    <w:rsid w:val="0044737F"/>
    <w:rsid w:val="00462131"/>
    <w:rsid w:val="004A2EFF"/>
    <w:rsid w:val="004B32AC"/>
    <w:rsid w:val="004E62CB"/>
    <w:rsid w:val="004F653A"/>
    <w:rsid w:val="0050743D"/>
    <w:rsid w:val="00507CE6"/>
    <w:rsid w:val="00556227"/>
    <w:rsid w:val="0056738D"/>
    <w:rsid w:val="0057450D"/>
    <w:rsid w:val="0060555C"/>
    <w:rsid w:val="00607E02"/>
    <w:rsid w:val="006B4473"/>
    <w:rsid w:val="006F61C4"/>
    <w:rsid w:val="00715905"/>
    <w:rsid w:val="00756DDF"/>
    <w:rsid w:val="0078350A"/>
    <w:rsid w:val="007B43E9"/>
    <w:rsid w:val="007B64A5"/>
    <w:rsid w:val="007B7BA4"/>
    <w:rsid w:val="007F31EC"/>
    <w:rsid w:val="00816405"/>
    <w:rsid w:val="0082608C"/>
    <w:rsid w:val="00833B7B"/>
    <w:rsid w:val="008919ED"/>
    <w:rsid w:val="008D5C6F"/>
    <w:rsid w:val="00903A1E"/>
    <w:rsid w:val="00913A9D"/>
    <w:rsid w:val="0091687F"/>
    <w:rsid w:val="0092086B"/>
    <w:rsid w:val="00987610"/>
    <w:rsid w:val="009A48F5"/>
    <w:rsid w:val="009E465F"/>
    <w:rsid w:val="009F0BE1"/>
    <w:rsid w:val="00A2768F"/>
    <w:rsid w:val="00A72A21"/>
    <w:rsid w:val="00AC5224"/>
    <w:rsid w:val="00B022C7"/>
    <w:rsid w:val="00B34782"/>
    <w:rsid w:val="00B646A4"/>
    <w:rsid w:val="00BA5F64"/>
    <w:rsid w:val="00BE559A"/>
    <w:rsid w:val="00BE75C3"/>
    <w:rsid w:val="00C04254"/>
    <w:rsid w:val="00C675A6"/>
    <w:rsid w:val="00C67BBC"/>
    <w:rsid w:val="00CB6D53"/>
    <w:rsid w:val="00CD3420"/>
    <w:rsid w:val="00CD68D8"/>
    <w:rsid w:val="00D1118D"/>
    <w:rsid w:val="00D15D3B"/>
    <w:rsid w:val="00D25A28"/>
    <w:rsid w:val="00D31783"/>
    <w:rsid w:val="00D517A1"/>
    <w:rsid w:val="00D871DC"/>
    <w:rsid w:val="00DC339E"/>
    <w:rsid w:val="00DF3124"/>
    <w:rsid w:val="00E75220"/>
    <w:rsid w:val="00EA4BC5"/>
    <w:rsid w:val="00ED3683"/>
    <w:rsid w:val="00EF2FEF"/>
    <w:rsid w:val="00F1198B"/>
    <w:rsid w:val="00F14F1F"/>
    <w:rsid w:val="00FC137D"/>
    <w:rsid w:val="00FC78C1"/>
    <w:rsid w:val="00FC7A8D"/>
    <w:rsid w:val="00FD643E"/>
    <w:rsid w:val="00FE3D2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BDA0B"/>
  <w15:docId w15:val="{952AC52C-8CD5-4A8B-9C91-ADE1AD8CF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BE75C3"/>
    <w:rPr>
      <w:color w:val="0000FF" w:themeColor="hyperlink"/>
      <w:u w:val="single"/>
    </w:rPr>
  </w:style>
  <w:style w:type="paragraph" w:styleId="Prrafodelista">
    <w:name w:val="List Paragraph"/>
    <w:basedOn w:val="Normal"/>
    <w:uiPriority w:val="34"/>
    <w:qFormat/>
    <w:rsid w:val="00085C3C"/>
    <w:pPr>
      <w:ind w:left="720"/>
      <w:contextualSpacing/>
    </w:pPr>
  </w:style>
  <w:style w:type="paragraph" w:styleId="Textonotapie">
    <w:name w:val="footnote text"/>
    <w:basedOn w:val="Normal"/>
    <w:link w:val="TextonotapieCar"/>
    <w:uiPriority w:val="99"/>
    <w:semiHidden/>
    <w:rsid w:val="004B32AC"/>
    <w:pPr>
      <w:spacing w:after="0" w:line="240" w:lineRule="auto"/>
    </w:pPr>
    <w:rPr>
      <w:rFonts w:ascii="Calibri" w:eastAsia="Calibri" w:hAnsi="Calibri" w:cs="Calibri"/>
      <w:sz w:val="20"/>
      <w:szCs w:val="20"/>
    </w:rPr>
  </w:style>
  <w:style w:type="character" w:customStyle="1" w:styleId="TextonotapieCar">
    <w:name w:val="Texto nota pie Car"/>
    <w:basedOn w:val="Fuentedeprrafopredeter"/>
    <w:link w:val="Textonotapie"/>
    <w:uiPriority w:val="99"/>
    <w:semiHidden/>
    <w:rsid w:val="004B32AC"/>
    <w:rPr>
      <w:rFonts w:ascii="Calibri" w:eastAsia="Calibri" w:hAnsi="Calibri" w:cs="Calibri"/>
      <w:sz w:val="20"/>
      <w:szCs w:val="20"/>
    </w:rPr>
  </w:style>
  <w:style w:type="character" w:styleId="Refdenotaalpie">
    <w:name w:val="footnote reference"/>
    <w:uiPriority w:val="99"/>
    <w:semiHidden/>
    <w:rsid w:val="004B32AC"/>
    <w:rPr>
      <w:vertAlign w:val="superscript"/>
    </w:rPr>
  </w:style>
  <w:style w:type="character" w:styleId="Mencinsinresolver">
    <w:name w:val="Unresolved Mention"/>
    <w:basedOn w:val="Fuentedeprrafopredeter"/>
    <w:uiPriority w:val="99"/>
    <w:semiHidden/>
    <w:unhideWhenUsed/>
    <w:rsid w:val="004473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5511976">
      <w:bodyDiv w:val="1"/>
      <w:marLeft w:val="0"/>
      <w:marRight w:val="0"/>
      <w:marTop w:val="0"/>
      <w:marBottom w:val="0"/>
      <w:divBdr>
        <w:top w:val="none" w:sz="0" w:space="0" w:color="auto"/>
        <w:left w:val="none" w:sz="0" w:space="0" w:color="auto"/>
        <w:bottom w:val="none" w:sz="0" w:space="0" w:color="auto"/>
        <w:right w:val="none" w:sz="0" w:space="0" w:color="auto"/>
      </w:divBdr>
    </w:div>
    <w:div w:id="295064039">
      <w:bodyDiv w:val="1"/>
      <w:marLeft w:val="0"/>
      <w:marRight w:val="0"/>
      <w:marTop w:val="0"/>
      <w:marBottom w:val="0"/>
      <w:divBdr>
        <w:top w:val="none" w:sz="0" w:space="0" w:color="auto"/>
        <w:left w:val="none" w:sz="0" w:space="0" w:color="auto"/>
        <w:bottom w:val="none" w:sz="0" w:space="0" w:color="auto"/>
        <w:right w:val="none" w:sz="0" w:space="0" w:color="auto"/>
      </w:divBdr>
    </w:div>
    <w:div w:id="447243132">
      <w:bodyDiv w:val="1"/>
      <w:marLeft w:val="0"/>
      <w:marRight w:val="0"/>
      <w:marTop w:val="0"/>
      <w:marBottom w:val="0"/>
      <w:divBdr>
        <w:top w:val="none" w:sz="0" w:space="0" w:color="auto"/>
        <w:left w:val="none" w:sz="0" w:space="0" w:color="auto"/>
        <w:bottom w:val="none" w:sz="0" w:space="0" w:color="auto"/>
        <w:right w:val="none" w:sz="0" w:space="0" w:color="auto"/>
      </w:divBdr>
    </w:div>
    <w:div w:id="525559447">
      <w:bodyDiv w:val="1"/>
      <w:marLeft w:val="0"/>
      <w:marRight w:val="0"/>
      <w:marTop w:val="0"/>
      <w:marBottom w:val="0"/>
      <w:divBdr>
        <w:top w:val="none" w:sz="0" w:space="0" w:color="auto"/>
        <w:left w:val="none" w:sz="0" w:space="0" w:color="auto"/>
        <w:bottom w:val="none" w:sz="0" w:space="0" w:color="auto"/>
        <w:right w:val="none" w:sz="0" w:space="0" w:color="auto"/>
      </w:divBdr>
      <w:divsChild>
        <w:div w:id="858391246">
          <w:marLeft w:val="720"/>
          <w:marRight w:val="0"/>
          <w:marTop w:val="0"/>
          <w:marBottom w:val="0"/>
          <w:divBdr>
            <w:top w:val="none" w:sz="0" w:space="0" w:color="auto"/>
            <w:left w:val="none" w:sz="0" w:space="0" w:color="auto"/>
            <w:bottom w:val="none" w:sz="0" w:space="0" w:color="auto"/>
            <w:right w:val="none" w:sz="0" w:space="0" w:color="auto"/>
          </w:divBdr>
        </w:div>
      </w:divsChild>
    </w:div>
    <w:div w:id="1283926796">
      <w:bodyDiv w:val="1"/>
      <w:marLeft w:val="0"/>
      <w:marRight w:val="0"/>
      <w:marTop w:val="0"/>
      <w:marBottom w:val="0"/>
      <w:divBdr>
        <w:top w:val="none" w:sz="0" w:space="0" w:color="auto"/>
        <w:left w:val="none" w:sz="0" w:space="0" w:color="auto"/>
        <w:bottom w:val="none" w:sz="0" w:space="0" w:color="auto"/>
        <w:right w:val="none" w:sz="0" w:space="0" w:color="auto"/>
      </w:divBdr>
      <w:divsChild>
        <w:div w:id="1570842314">
          <w:marLeft w:val="547"/>
          <w:marRight w:val="0"/>
          <w:marTop w:val="86"/>
          <w:marBottom w:val="0"/>
          <w:divBdr>
            <w:top w:val="none" w:sz="0" w:space="0" w:color="auto"/>
            <w:left w:val="none" w:sz="0" w:space="0" w:color="auto"/>
            <w:bottom w:val="none" w:sz="0" w:space="0" w:color="auto"/>
            <w:right w:val="none" w:sz="0" w:space="0" w:color="auto"/>
          </w:divBdr>
        </w:div>
        <w:div w:id="1815640348">
          <w:marLeft w:val="547"/>
          <w:marRight w:val="0"/>
          <w:marTop w:val="86"/>
          <w:marBottom w:val="0"/>
          <w:divBdr>
            <w:top w:val="none" w:sz="0" w:space="0" w:color="auto"/>
            <w:left w:val="none" w:sz="0" w:space="0" w:color="auto"/>
            <w:bottom w:val="none" w:sz="0" w:space="0" w:color="auto"/>
            <w:right w:val="none" w:sz="0" w:space="0" w:color="auto"/>
          </w:divBdr>
        </w:div>
        <w:div w:id="1002439592">
          <w:marLeft w:val="547"/>
          <w:marRight w:val="0"/>
          <w:marTop w:val="86"/>
          <w:marBottom w:val="0"/>
          <w:divBdr>
            <w:top w:val="none" w:sz="0" w:space="0" w:color="auto"/>
            <w:left w:val="none" w:sz="0" w:space="0" w:color="auto"/>
            <w:bottom w:val="none" w:sz="0" w:space="0" w:color="auto"/>
            <w:right w:val="none" w:sz="0" w:space="0" w:color="auto"/>
          </w:divBdr>
        </w:div>
      </w:divsChild>
    </w:div>
    <w:div w:id="1440947442">
      <w:bodyDiv w:val="1"/>
      <w:marLeft w:val="0"/>
      <w:marRight w:val="0"/>
      <w:marTop w:val="0"/>
      <w:marBottom w:val="0"/>
      <w:divBdr>
        <w:top w:val="none" w:sz="0" w:space="0" w:color="auto"/>
        <w:left w:val="none" w:sz="0" w:space="0" w:color="auto"/>
        <w:bottom w:val="none" w:sz="0" w:space="0" w:color="auto"/>
        <w:right w:val="none" w:sz="0" w:space="0" w:color="auto"/>
      </w:divBdr>
    </w:div>
    <w:div w:id="1670600791">
      <w:bodyDiv w:val="1"/>
      <w:marLeft w:val="0"/>
      <w:marRight w:val="0"/>
      <w:marTop w:val="0"/>
      <w:marBottom w:val="0"/>
      <w:divBdr>
        <w:top w:val="none" w:sz="0" w:space="0" w:color="auto"/>
        <w:left w:val="none" w:sz="0" w:space="0" w:color="auto"/>
        <w:bottom w:val="none" w:sz="0" w:space="0" w:color="auto"/>
        <w:right w:val="none" w:sz="0" w:space="0" w:color="auto"/>
      </w:divBdr>
      <w:divsChild>
        <w:div w:id="1045562228">
          <w:marLeft w:val="0"/>
          <w:marRight w:val="0"/>
          <w:marTop w:val="0"/>
          <w:marBottom w:val="0"/>
          <w:divBdr>
            <w:top w:val="none" w:sz="0" w:space="0" w:color="auto"/>
            <w:left w:val="none" w:sz="0" w:space="0" w:color="auto"/>
            <w:bottom w:val="none" w:sz="0" w:space="0" w:color="auto"/>
            <w:right w:val="none" w:sz="0" w:space="0" w:color="auto"/>
          </w:divBdr>
        </w:div>
        <w:div w:id="1952660784">
          <w:marLeft w:val="0"/>
          <w:marRight w:val="0"/>
          <w:marTop w:val="0"/>
          <w:marBottom w:val="0"/>
          <w:divBdr>
            <w:top w:val="none" w:sz="0" w:space="0" w:color="auto"/>
            <w:left w:val="none" w:sz="0" w:space="0" w:color="auto"/>
            <w:bottom w:val="none" w:sz="0" w:space="0" w:color="auto"/>
            <w:right w:val="none" w:sz="0" w:space="0" w:color="auto"/>
          </w:divBdr>
        </w:div>
        <w:div w:id="1960992884">
          <w:marLeft w:val="0"/>
          <w:marRight w:val="0"/>
          <w:marTop w:val="0"/>
          <w:marBottom w:val="0"/>
          <w:divBdr>
            <w:top w:val="none" w:sz="0" w:space="0" w:color="auto"/>
            <w:left w:val="none" w:sz="0" w:space="0" w:color="auto"/>
            <w:bottom w:val="none" w:sz="0" w:space="0" w:color="auto"/>
            <w:right w:val="none" w:sz="0" w:space="0" w:color="auto"/>
          </w:divBdr>
        </w:div>
        <w:div w:id="1476098936">
          <w:marLeft w:val="0"/>
          <w:marRight w:val="0"/>
          <w:marTop w:val="0"/>
          <w:marBottom w:val="0"/>
          <w:divBdr>
            <w:top w:val="none" w:sz="0" w:space="0" w:color="auto"/>
            <w:left w:val="none" w:sz="0" w:space="0" w:color="auto"/>
            <w:bottom w:val="none" w:sz="0" w:space="0" w:color="auto"/>
            <w:right w:val="none" w:sz="0" w:space="0" w:color="auto"/>
          </w:divBdr>
        </w:div>
      </w:divsChild>
    </w:div>
    <w:div w:id="1716854915">
      <w:bodyDiv w:val="1"/>
      <w:marLeft w:val="0"/>
      <w:marRight w:val="0"/>
      <w:marTop w:val="0"/>
      <w:marBottom w:val="0"/>
      <w:divBdr>
        <w:top w:val="none" w:sz="0" w:space="0" w:color="auto"/>
        <w:left w:val="none" w:sz="0" w:space="0" w:color="auto"/>
        <w:bottom w:val="none" w:sz="0" w:space="0" w:color="auto"/>
        <w:right w:val="none" w:sz="0" w:space="0" w:color="auto"/>
      </w:divBdr>
    </w:div>
    <w:div w:id="1829975459">
      <w:bodyDiv w:val="1"/>
      <w:marLeft w:val="0"/>
      <w:marRight w:val="0"/>
      <w:marTop w:val="0"/>
      <w:marBottom w:val="0"/>
      <w:divBdr>
        <w:top w:val="none" w:sz="0" w:space="0" w:color="auto"/>
        <w:left w:val="none" w:sz="0" w:space="0" w:color="auto"/>
        <w:bottom w:val="none" w:sz="0" w:space="0" w:color="auto"/>
        <w:right w:val="none" w:sz="0" w:space="0" w:color="auto"/>
      </w:divBdr>
      <w:divsChild>
        <w:div w:id="1421637661">
          <w:marLeft w:val="547"/>
          <w:marRight w:val="0"/>
          <w:marTop w:val="86"/>
          <w:marBottom w:val="0"/>
          <w:divBdr>
            <w:top w:val="none" w:sz="0" w:space="0" w:color="auto"/>
            <w:left w:val="none" w:sz="0" w:space="0" w:color="auto"/>
            <w:bottom w:val="none" w:sz="0" w:space="0" w:color="auto"/>
            <w:right w:val="none" w:sz="0" w:space="0" w:color="auto"/>
          </w:divBdr>
        </w:div>
        <w:div w:id="1684165715">
          <w:marLeft w:val="547"/>
          <w:marRight w:val="0"/>
          <w:marTop w:val="86"/>
          <w:marBottom w:val="0"/>
          <w:divBdr>
            <w:top w:val="none" w:sz="0" w:space="0" w:color="auto"/>
            <w:left w:val="none" w:sz="0" w:space="0" w:color="auto"/>
            <w:bottom w:val="none" w:sz="0" w:space="0" w:color="auto"/>
            <w:right w:val="none" w:sz="0" w:space="0" w:color="auto"/>
          </w:divBdr>
        </w:div>
        <w:div w:id="1680162062">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quia.ffyh.unc.edu.ar/bitstream/handle/suquia/3502/Informe%20Gesti%C3%B3n%202013.pdf?sequence=1" TargetMode="External"/><Relationship Id="rId3" Type="http://schemas.openxmlformats.org/officeDocument/2006/relationships/settings" Target="settings.xml"/><Relationship Id="rId7" Type="http://schemas.openxmlformats.org/officeDocument/2006/relationships/hyperlink" Target="https://suquia.ffyh.unc.edu.ar/handle/suquia/348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5</Pages>
  <Words>1617</Words>
  <Characters>8897</Characters>
  <Application>Microsoft Office Word</Application>
  <DocSecurity>0</DocSecurity>
  <Lines>74</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Reserva</dc:creator>
  <cp:lastModifiedBy>eduardo pautassi</cp:lastModifiedBy>
  <cp:revision>5</cp:revision>
  <dcterms:created xsi:type="dcterms:W3CDTF">2024-12-02T14:54:00Z</dcterms:created>
  <dcterms:modified xsi:type="dcterms:W3CDTF">2024-12-02T20:13:00Z</dcterms:modified>
</cp:coreProperties>
</file>